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4"/>
          <w:szCs w:val="24"/>
          <w:u w:val="single"/>
          <w:lang w:eastAsia="ru-RU"/>
        </w:rPr>
        <w:t xml:space="preserve">Главного специалиста - эксперта отдела развития агропромышленного комплекса Управления агропромышленного комплекса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4"/>
          <w:szCs w:val="24"/>
          <w:u w:val="single"/>
          <w:lang w:eastAsia="ru-RU"/>
        </w:rPr>
        <w:t xml:space="preserve">Департамента промышленности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4"/>
          <w:szCs w:val="24"/>
          <w:u w:val="single"/>
          <w:lang w:eastAsia="ru-RU"/>
        </w:rPr>
        <w:t xml:space="preserve">Ханты-Мансийского автономного округа – Югры 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>(категория «Специалисты» группа «Старшая»)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0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color w:val="000000"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Главный специалист - эксперт отдела развития агропромышленного комплекса Управления агропромышленного комплекса Департамента промышленности Ханты-Мансийского автономного округа – Югры.  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" w:type="dxa"/>
              <w:right w:w="15" w:type="dxa"/>
            </w:tcMar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118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2"/>
                <w:szCs w:val="22"/>
                <w:lang w:eastAsia="ru-RU"/>
              </w:rPr>
              <w:t>Создание условий для развития агропромышленного комплекса в автономном округе, реализация государственной политики в сфере агропромышленного комплекса.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 xml:space="preserve">Непосредственно подчиняется заместителю начальника Управления агропромышленного комплекса – начальнику отдела развития агропромышленного комплекса Департамента 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нет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для мужчин - 40 часов в неделю,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Условия работы: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оформляется в соответствии с требованиями законодательства при заключении служебного контракта.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color w:val="000000"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подготовка проектов нормативных и правовых актов, договоров, соглашений, писем и иных документов Департамента, а также проектов законов, иных нормативных правовых актов автономного округа и других документов, по которым требуется решение Губернатора автономного округа, его заместителей, Правительства автономного округа, по вопросам, относящимся к функциям Отдела;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исполнение нормативно-правовых актов, решений Правительства автономного округа, руководства Департамента в сельскохозяйственной сфере и связанных с ним вопросов и программ;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мониторинг состояния отраслей агропромышленного комплекса;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подведение итогов деятельности и подготовка прогнозов развития агропромышленного комплекса;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развитию племенного животноводства автономного округа, в том числе ведение реестра закупок племенных животных.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вовлечению в хозяйственный оборот земель сельскохозяйственного назначения;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сохранению и повышению плодородия земель сельскохозяйственного назначения;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развитию лизинговой деятельности в агропромышленном комплексе;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развитию сельскохозяйственной кооперации;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стимулированию внедрения новой техники, ресурсосберегающих и природоохранных технологий на предприятиях агропромышленного комплекса;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рассмотрение поступивших в Департамент обращений, документов и материалов по вопросам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устойчивому развитию сельских территорий;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обеспечению продовольственной безопасности;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мероприятия по развитию системы заготовки и переработки дикоросов;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сопровождение проектов в сфере агропромышленного комплекса с целью предоставления мер государственной поддержки из федерального бюджета и бюджета автономного округа;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экспертизу проектов в сфере агропромышленного комплекса на предмет возможности предоставления мер государственной поддержки за счет средств бюджета автономного округа и федерального бюджета;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- контроль за надлежащим исполнением обязательств, предусмотренных в соглашениях о предоставлении мер государственной поддержки субъектам деятельности, которые заключены Департаментом по направлению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предоставление государственных услуг сельскохозяйственным товаропроизводителям по  направлениям Отдела;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проведение проверки документов, предоставляемых сельскохозяйственными товаропроизводителями для получения государственной поддержки;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проведение профильных семинаров, конкурсов, совещаний;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подготовку повесток, докладов, презентаций, информационных материалов, итоговых протоколов;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5" w:hanging="0"/>
              <w:jc w:val="both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spacing w:val="4"/>
                <w:sz w:val="22"/>
                <w:szCs w:val="22"/>
              </w:rPr>
              <w:t>- о</w:t>
            </w:r>
            <w:r>
              <w:rPr>
                <w:rFonts w:eastAsia="Times New Roman" w:ascii="Times New Roman" w:hAnsi="Times New Roman"/>
                <w:color w:val="000000"/>
                <w:spacing w:val="1"/>
                <w:sz w:val="22"/>
                <w:szCs w:val="22"/>
              </w:rPr>
              <w:t>бработку</w:t>
            </w:r>
            <w:r>
              <w:rPr>
                <w:rFonts w:eastAsia="Times New Roman" w:ascii="Times New Roman" w:hAnsi="Times New Roman"/>
                <w:color w:val="000000"/>
                <w:spacing w:val="4"/>
                <w:sz w:val="22"/>
                <w:szCs w:val="22"/>
              </w:rPr>
              <w:t xml:space="preserve"> поступивших от муниципальных образований </w:t>
            </w:r>
            <w:r>
              <w:rPr>
                <w:rFonts w:eastAsia="Times New Roman" w:ascii="Times New Roman" w:hAnsi="Times New Roman"/>
                <w:color w:val="000000"/>
                <w:spacing w:val="1"/>
                <w:sz w:val="22"/>
                <w:szCs w:val="22"/>
              </w:rPr>
              <w:t>отчетов об осуществлении переданного полномочия по поддержке сельскохозяйственного производства, в части целевых показателей</w:t>
            </w:r>
            <w:r>
              <w:rPr>
                <w:rFonts w:eastAsia="Times New Roman" w:ascii="Times New Roman" w:hAnsi="Times New Roman"/>
                <w:color w:val="000000"/>
                <w:sz w:val="22"/>
                <w:szCs w:val="22"/>
              </w:rPr>
              <w:t>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предоставление информации в сфере агропромышленного комплекса в Министерство сельского хозяйства Российской Федерации, аппарат полномочного представителя Президента Российской Федерации в Уральском федеральном округе;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исполнение поручений и указов Президента Российской Федерации, Губернатора автономного округа в установленной сфере деятельности, поступивших в Отдел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предоставление государственных услуг;</w:t>
            </w:r>
          </w:p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внешние коммуникации (с гражданами, общественностью, сообществами и т. д.);</w:t>
            </w:r>
          </w:p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внутреннее взаимодействие.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ru-RU"/>
              </w:rPr>
              <w:t xml:space="preserve">Высшее образование 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ru-RU"/>
              </w:rPr>
              <w:t xml:space="preserve">Требование к наличию стажа государственной службы и стажу работы по специальности, направлению подготовки </w:t>
            </w:r>
            <w:bookmarkStart w:id="0" w:name="__DdeLink__284_2356335610"/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не предъявляется.</w:t>
            </w:r>
            <w:bookmarkEnd w:id="0"/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Не предъявляется.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обеспечение выполнения плана мероприятий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отдела,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Управления;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своевременность исполнения поручений 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заместител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я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 xml:space="preserve"> начальника Управления агропромышленного комплекса – начальнику отдела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начальника Управления, заместителя директора Департамента, директора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соблюдение требований к служебному поведению и служебного распорядка исполнительного органа государственной власти автономного округа, Кодекса профессиональной этики государственных гражданских служащих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выполнение целевых показателей по направлению деятельности отдела.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144"/>
        <w:gridCol w:w="283"/>
        <w:gridCol w:w="7229"/>
      </w:tblGrid>
      <w:tr>
        <w:trPr>
          <w:trHeight w:val="507" w:hRule="atLeast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lang w:eastAsia="ru-RU"/>
              </w:rPr>
              <w:t>Знания и умения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color w:val="000000"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/>
                <w:sz w:val="22"/>
                <w:szCs w:val="22"/>
                <w:lang w:eastAsia="ru-RU"/>
              </w:rPr>
              <w:t>Базовые знания и умения: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- знание государственного языка Российской Федерации (русского языка);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>- знание должностного регламента;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>- знание правил и норм охраны труда, техники безопасности, производственной санитарии и противопожарной защиты;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>- знание правил служебного распорядка.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/>
                <w:sz w:val="22"/>
                <w:szCs w:val="22"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/>
                <w:sz w:val="22"/>
                <w:szCs w:val="22"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i/>
                <w:i/>
                <w:iCs/>
                <w:color w:val="CE181E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2"/>
                <w:szCs w:val="22"/>
                <w:lang w:eastAsia="ru-RU"/>
              </w:rPr>
              <w:t xml:space="preserve">Наличие знаний: 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color w:val="CE181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>- знание аппаратного и программного обеспечения (знание состава компьютера, работы в операционной системе, почтовых программ, офисных приложений, справочно-правовых систем);</w:t>
            </w:r>
          </w:p>
          <w:p>
            <w:pPr>
              <w:pStyle w:val="Normal"/>
              <w:keepNext w:val="true"/>
              <w:widowControl w:val="false"/>
              <w:shd w:val="clear" w:color="auto" w:fill="FFFFFF"/>
              <w:spacing w:lineRule="auto" w:line="240" w:before="0" w:after="0"/>
              <w:ind w:hanging="0"/>
              <w:jc w:val="both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color w:val="CE181E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>- 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outlineLvl w:val="0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color w:val="CE181E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- знание общих вопросов в области обеспечения информационной безопасности.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color w:val="CE181E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2"/>
                <w:szCs w:val="22"/>
                <w:lang w:eastAsia="ru-RU"/>
              </w:rPr>
              <w:t xml:space="preserve">Наличие умений: 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работы с информационно-телекоммуникационными сетями, в том числе сетью Интернет;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Cambria" w:ascii="Times New Roman" w:hAnsi="Times New Roman"/>
                <w:color w:val="000000"/>
                <w:sz w:val="22"/>
                <w:szCs w:val="22"/>
              </w:rPr>
              <w:t>- использования справочно-правовых систем;</w:t>
              <w:tab/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работы в операционной системе, управления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Cambria" w:ascii="Times New Roman" w:hAnsi="Times New Roman"/>
                <w:color w:val="000000"/>
                <w:sz w:val="22"/>
                <w:szCs w:val="22"/>
              </w:rPr>
              <w:t>- работы с внутренними и периферийными устройствами компьютера (принтер, сканер, многофункциональное устройство и т. д.).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left="720" w:hanging="0"/>
              <w:jc w:val="both"/>
              <w:textAlignment w:val="baseline"/>
              <w:rPr>
                <w:rFonts w:ascii="Times New Roman" w:hAnsi="Times New Roman" w:eastAsia="Cambria" w:cs="Times New Roman"/>
                <w:color w:val="000000"/>
                <w:lang w:eastAsia="zh-CN"/>
              </w:rPr>
            </w:pPr>
            <w:r>
              <w:rPr>
                <w:rFonts w:eastAsia="Cambria" w:cs="Times New Roman" w:ascii="Times New Roman" w:hAnsi="Times New Roman"/>
                <w:color w:val="000000"/>
                <w:lang w:eastAsia="zh-CN"/>
              </w:rPr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color w:val="000000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- знание основ делопроизводства и документооборота;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Cambria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 xml:space="preserve">-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использования при подготовке документов делового стиля письма, правильного употребления грамматических и лексических средств русского языка.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умение мыслить системно;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умение планировать и рационально использовать рабочее время;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умение достигать результата;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коммуникативные умения;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умение работать в стрессовых условиях;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умение совершенствовать свой профессиональный уровень.</w:t>
            </w:r>
          </w:p>
          <w:p>
            <w:pPr>
              <w:pStyle w:val="Normal"/>
              <w:spacing w:lineRule="auto" w:line="240" w:before="0" w:after="0"/>
              <w:rPr>
                <w:color w:val="CE181E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sz w:val="22"/>
                <w:szCs w:val="22"/>
                <w:lang w:eastAsia="ru-RU"/>
              </w:rPr>
              <w:t>Управленческие умения: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i w:val="false"/>
                <w:i w:val="false"/>
                <w:iCs w:val="false"/>
                <w:color w:val="CE181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В соответствии со своей компетенцией</w:t>
            </w:r>
            <w:r>
              <w:rPr>
                <w:rFonts w:ascii="Times New Roman" w:hAnsi="Times New Roman"/>
                <w:i w:val="false"/>
                <w:iCs w:val="false"/>
                <w:color w:val="000000"/>
                <w:sz w:val="22"/>
                <w:szCs w:val="22"/>
              </w:rPr>
              <w:t xml:space="preserve"> вправе принимать или принимает решения по вопросам: 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i w:val="false"/>
                <w:i w:val="false"/>
                <w:iCs w:val="false"/>
                <w:color w:val="CE181E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-  относящимся к компетенции Отдела сотрудников Департамента;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2"/>
                <w:szCs w:val="22"/>
              </w:rPr>
              <w:t>- подготовки проектов: служебных записок, распоряжений, справок, протоколов, извещений, заключений, предложений, пояснительных записок, отзывов, списков, перечней;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sz w:val="22"/>
                <w:szCs w:val="22"/>
                <w:lang w:eastAsia="zh-CN"/>
              </w:rPr>
              <w:t>- подготовки предложений, связанных с исполнением должностных обязанностей в установленной сфере деятельности Отдела, а также по вопросам планирования организации своей работы.</w:t>
            </w:r>
          </w:p>
        </w:tc>
      </w:tr>
      <w:tr>
        <w:trPr>
          <w:trHeight w:val="543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color w:val="000000"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- знание навыков, связанных со спецификой исполняемых должностных обязанностей;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- знание порядка работы со служебной информацией;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Cambria" w:ascii="Times New Roman" w:hAnsi="Times New Roman"/>
                <w:color w:val="000000"/>
                <w:sz w:val="22"/>
                <w:szCs w:val="22"/>
              </w:rPr>
              <w:t>- организации личного труда, в том числе, планирования рабочего времени;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rFonts w:ascii="Times New Roman" w:hAnsi="Times New Roman" w:eastAsia="Cambr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mbria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- свободного владения, использования словарного запаса русского языка, необходимого для осуществления профессиональной служебной деятельности.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Наличие умений: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2"/>
                <w:szCs w:val="22"/>
                <w:lang w:eastAsia="ru-RU"/>
              </w:rPr>
              <w:t>-</w:t>
            </w:r>
            <w:r>
              <w:rPr>
                <w:rFonts w:eastAsia="Cambria" w:ascii="Times New Roman" w:hAnsi="Times New Roman"/>
                <w:color w:val="000000"/>
                <w:sz w:val="22"/>
                <w:szCs w:val="22"/>
              </w:rPr>
              <w:t xml:space="preserve"> коммуникативные навыки;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Cambria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- владения современными средствами и методами работы с информацией;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Cambria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ru-RU"/>
              </w:rPr>
              <w:t>- работы с правовыми актами и иными документами;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Cambria" w:ascii="Times New Roman" w:hAnsi="Times New Roman"/>
                <w:color w:val="000000"/>
                <w:sz w:val="22"/>
                <w:szCs w:val="22"/>
              </w:rPr>
              <w:t>- выстраивания связи между персональным развитием и целями и задачами, стоящими перед структурным подразделением;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навыки систематического повышения профессиональных знаний;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hanging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адаптации к новой ситуации и применения новых подходов к решению возникающих проблем;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34" w:leader="none"/>
              </w:tabs>
              <w:suppressAutoHyphens w:val="true"/>
              <w:spacing w:lineRule="auto" w:line="240" w:before="0" w:after="0"/>
              <w:ind w:hanging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zh-CN"/>
              </w:rPr>
              <w:t>- использования опыта и мнения коллег</w:t>
            </w:r>
            <w:r>
              <w:rPr>
                <w:rFonts w:eastAsia="Cambria"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  <w:lang w:eastAsia="zh-CN"/>
              </w:rPr>
              <w:t xml:space="preserve">. 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2"/>
                <w:szCs w:val="22"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CE181E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ведения сельскохозяйственного производства в условиях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CE181E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меры государственной поддержки агропромышленного комплекса из федерального и регионального бюджетов;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CE181E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процедуры рассмотрения обращений граждан;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CE181E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 xml:space="preserve">- приоритетного направления в сфере агропромышленного комплекса. 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2"/>
                <w:szCs w:val="22"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color w:val="CE181E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- разработка проектов нормативных правовых актов и других документов;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CE181E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подготовка методических рекомендаций, разъяснений;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color w:val="CE181E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подготовка аналитических, информационных и других материалов;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color w:val="CE181E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- подготовка разъяснений, в том числе гражданам, по вопросам применения законодательства Российской Федерации, автономного округа по вопросам, относящимся к функциям Отдела.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color w:val="000000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lang w:eastAsia="zh-CN"/>
              </w:rPr>
              <w:t>- эффективность коммуникаций;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zh-CN"/>
              </w:rPr>
              <w:t>- стратегическое видение/мышление;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zh-CN"/>
              </w:rPr>
              <w:t>- командное взаимодействие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активность;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лидерство;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настойчивость;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инициативность;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дисциплинированность;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самостоятельность;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 мотивация достижения.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ascii="Times New Roman" w:hAnsi="Times New Roman"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ascii="Times New Roman" w:hAnsi="Times New Roman"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ascii="Times New Roman" w:hAnsi="Times New Roman"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ascii="Times New Roman" w:hAnsi="Times New Roman" w:cs="Symbol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ascii="Times New Roman" w:hAnsi="Times New Roman"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ascii="Times New Roman" w:hAnsi="Times New Roman"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ListLabel85">
    <w:name w:val="ListLabel 85"/>
    <w:qFormat/>
    <w:rPr>
      <w:rFonts w:cs="Symbol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Times New Roman" w:hAnsi="Times New Roman"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Times New Roman" w:hAnsi="Times New Roman"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Application>LibreOffice/6.1.1.2$Windows_X86_64 LibreOffice_project/5d19a1bfa650b796764388cd8b33a5af1f5baa1b</Application>
  <Pages>5</Pages>
  <Words>1222</Words>
  <Characters>9810</Characters>
  <CharactersWithSpaces>10911</CharactersWithSpaces>
  <Paragraphs>159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2018-11-19T10:43:19Z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