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111"/>
        <w:shd w:val="clear" w:fill="FFFFFF"/>
        <w:spacing w:lineRule="auto" w:line="240" w:before="0" w:after="0"/>
        <w:ind w:firstLine="426"/>
        <w:jc w:val="right"/>
        <w:rPr>
          <w:rStyle w:val="11"/>
          <w:sz w:val="24"/>
          <w:szCs w:val="24"/>
        </w:rPr>
      </w:pPr>
      <w:r>
        <w:rPr>
          <w:rStyle w:val="11"/>
          <w:sz w:val="24"/>
          <w:szCs w:val="24"/>
        </w:rPr>
        <w:t>МОДЕЛЬ</w:t>
      </w:r>
    </w:p>
    <w:p>
      <w:pPr>
        <w:pStyle w:val="111"/>
        <w:shd w:val="clear" w:fill="FFFFFF"/>
        <w:spacing w:lineRule="auto" w:line="240" w:before="0" w:after="0"/>
        <w:ind w:firstLine="426"/>
        <w:rPr>
          <w:rStyle w:val="11"/>
          <w:b/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111"/>
        <w:shd w:val="clear" w:fill="FFFFFF"/>
        <w:spacing w:lineRule="auto" w:line="240" w:before="0" w:after="0"/>
        <w:ind w:firstLine="426"/>
        <w:rPr>
          <w:rStyle w:val="11"/>
          <w:b/>
          <w:b/>
          <w:sz w:val="24"/>
          <w:szCs w:val="24"/>
        </w:rPr>
      </w:pPr>
      <w:r>
        <w:rPr>
          <w:rStyle w:val="11"/>
          <w:b/>
          <w:sz w:val="24"/>
          <w:szCs w:val="24"/>
        </w:rPr>
        <w:t xml:space="preserve">ПРОФИЛЬ ДОЛЖНОСТИ </w:t>
      </w:r>
    </w:p>
    <w:p>
      <w:pPr>
        <w:pStyle w:val="111"/>
        <w:shd w:val="clear" w:fill="FFFFFF"/>
        <w:spacing w:lineRule="auto" w:line="240" w:before="0" w:after="0"/>
        <w:ind w:firstLine="426"/>
        <w:rPr/>
      </w:pPr>
      <w:r>
        <w:rPr>
          <w:rStyle w:val="11"/>
          <w:b/>
          <w:sz w:val="24"/>
          <w:szCs w:val="24"/>
        </w:rPr>
        <w:t>для категории «Специалисты» группа «Старшая»</w:t>
      </w:r>
    </w:p>
    <w:p>
      <w:pPr>
        <w:pStyle w:val="111"/>
        <w:shd w:val="clear" w:fill="FFFFFF"/>
        <w:spacing w:lineRule="auto" w:line="240" w:before="0" w:after="0"/>
        <w:ind w:firstLine="426"/>
        <w:rPr>
          <w:rStyle w:val="11"/>
          <w:b/>
          <w:b/>
          <w:sz w:val="24"/>
          <w:szCs w:val="24"/>
        </w:rPr>
      </w:pPr>
      <w:r>
        <w:rPr>
          <w:b/>
          <w:sz w:val="24"/>
          <w:szCs w:val="24"/>
        </w:rPr>
      </w:r>
    </w:p>
    <w:tbl>
      <w:tblPr>
        <w:tblW w:w="10348" w:type="dxa"/>
        <w:jc w:val="left"/>
        <w:tblInd w:w="-69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single" w:sz="4" w:space="0" w:color="000000"/>
          <w:insideH w:val="outset" w:sz="6" w:space="0" w:color="000000"/>
          <w:insideV w:val="single" w:sz="4" w:space="0" w:color="000000"/>
        </w:tblBorders>
        <w:tblCellMar>
          <w:top w:w="15" w:type="dxa"/>
          <w:left w:w="3" w:type="dxa"/>
          <w:bottom w:w="15" w:type="dxa"/>
          <w:right w:w="28" w:type="dxa"/>
        </w:tblCellMar>
        <w:tblLook w:firstRow="1" w:noVBand="1" w:lastRow="0" w:firstColumn="1" w:lastColumn="0" w:noHBand="0" w:val="04a0"/>
      </w:tblPr>
      <w:tblGrid>
        <w:gridCol w:w="4820"/>
        <w:gridCol w:w="5527"/>
      </w:tblGrid>
      <w:tr>
        <w:trPr/>
        <w:tc>
          <w:tcPr>
            <w:tcW w:w="48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000000"/>
              <w:insideH w:val="outset" w:sz="6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111"/>
              <w:shd w:val="clear" w:fill="FFFFFF"/>
              <w:spacing w:lineRule="auto" w:line="240" w:before="0" w:after="0"/>
              <w:ind w:left="-360" w:hanging="0"/>
              <w:rPr>
                <w:rStyle w:val="11"/>
                <w:b/>
                <w:b/>
                <w:sz w:val="22"/>
                <w:szCs w:val="22"/>
              </w:rPr>
            </w:pPr>
            <w:r>
              <w:rPr>
                <w:rStyle w:val="11"/>
                <w:b/>
                <w:sz w:val="22"/>
                <w:szCs w:val="22"/>
              </w:rPr>
              <w:t>Основные сведения и обязанности</w:t>
            </w:r>
          </w:p>
          <w:p>
            <w:pPr>
              <w:pStyle w:val="111"/>
              <w:shd w:val="clear" w:fill="FFFFFF"/>
              <w:spacing w:lineRule="auto" w:line="240" w:before="0" w:after="0"/>
              <w:ind w:left="-360" w:hanging="0"/>
              <w:rPr>
                <w:rStyle w:val="11"/>
                <w:b/>
                <w:b/>
                <w:sz w:val="22"/>
                <w:szCs w:val="22"/>
              </w:rPr>
            </w:pPr>
            <w:r>
              <w:rPr>
                <w:rStyle w:val="11"/>
                <w:b/>
                <w:sz w:val="22"/>
                <w:szCs w:val="22"/>
              </w:rPr>
              <w:t>по должности</w:t>
            </w:r>
          </w:p>
          <w:p>
            <w:pPr>
              <w:pStyle w:val="111"/>
              <w:shd w:val="clear" w:fill="FFFFFF"/>
              <w:spacing w:lineRule="auto" w:line="240" w:before="0" w:after="0"/>
              <w:ind w:left="-360" w:hanging="0"/>
              <w:rPr>
                <w:b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5527" w:type="dxa"/>
            <w:tcBorders>
              <w:top w:val="outset" w:sz="6" w:space="0" w:color="000000"/>
              <w:left w:val="single" w:sz="4" w:space="0" w:color="000000"/>
              <w:bottom w:val="outset" w:sz="6" w:space="0" w:color="000000"/>
              <w:right w:val="single" w:sz="4" w:space="0" w:color="000000"/>
              <w:insideH w:val="outset" w:sz="6" w:space="0" w:color="000000"/>
              <w:insideV w:val="single" w:sz="4" w:space="0" w:color="000000"/>
            </w:tcBorders>
            <w:shd w:fill="auto" w:val="clear"/>
            <w:tcMar>
              <w:left w:w="22" w:type="dxa"/>
              <w:right w:w="15" w:type="dxa"/>
            </w:tcMar>
            <w:vAlign w:val="center"/>
          </w:tcPr>
          <w:p>
            <w:pPr>
              <w:pStyle w:val="111"/>
              <w:shd w:val="clear" w:fill="FFFFFF"/>
              <w:spacing w:lineRule="auto" w:line="240" w:before="0" w:after="0"/>
              <w:ind w:left="-360" w:hanging="0"/>
              <w:rPr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Требования к кандидатам</w:t>
            </w:r>
          </w:p>
        </w:tc>
      </w:tr>
      <w:tr>
        <w:trPr/>
        <w:tc>
          <w:tcPr>
            <w:tcW w:w="48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000000"/>
              <w:insideH w:val="outset" w:sz="6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extAlignment w:val="baseline"/>
              <w:rPr>
                <w:i/>
                <w:i/>
                <w:sz w:val="22"/>
                <w:szCs w:val="22"/>
                <w:lang w:eastAsia="ru-RU"/>
              </w:rPr>
            </w:pPr>
            <w:r>
              <w:rPr>
                <w:b/>
                <w:bCs/>
                <w:i/>
                <w:sz w:val="22"/>
                <w:szCs w:val="22"/>
                <w:lang w:eastAsia="ru-RU"/>
              </w:rPr>
              <w:t xml:space="preserve">Наименование должности  </w:t>
            </w:r>
          </w:p>
        </w:tc>
        <w:tc>
          <w:tcPr>
            <w:tcW w:w="5527" w:type="dxa"/>
            <w:tcBorders>
              <w:top w:val="outset" w:sz="6" w:space="0" w:color="000000"/>
              <w:left w:val="single" w:sz="4" w:space="0" w:color="000000"/>
              <w:bottom w:val="outset" w:sz="6" w:space="0" w:color="000000"/>
              <w:right w:val="single" w:sz="4" w:space="0" w:color="000000"/>
              <w:insideH w:val="outset" w:sz="6" w:space="0" w:color="000000"/>
              <w:insideV w:val="single" w:sz="4" w:space="0" w:color="000000"/>
            </w:tcBorders>
            <w:shd w:fill="auto" w:val="clear"/>
            <w:tcMar>
              <w:left w:w="22" w:type="dxa"/>
              <w:right w:w="15" w:type="dxa"/>
            </w:tcMar>
          </w:tcPr>
          <w:p>
            <w:pPr>
              <w:pStyle w:val="Normal"/>
              <w:ind w:left="54" w:right="144" w:hanging="0"/>
              <w:rPr/>
            </w:pPr>
            <w:r>
              <w:rPr>
                <w:sz w:val="22"/>
                <w:szCs w:val="22"/>
              </w:rPr>
              <w:t xml:space="preserve">Главный специалист-эксперт отдела отраслевых секторов промышленности Управления промышленной политики Департамента промышленности Ханты-Мансийского автономного округа – Югры </w:t>
            </w:r>
          </w:p>
        </w:tc>
      </w:tr>
      <w:tr>
        <w:trPr/>
        <w:tc>
          <w:tcPr>
            <w:tcW w:w="48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000000"/>
              <w:insideH w:val="outset" w:sz="6" w:space="0" w:color="000000"/>
              <w:insideV w:val="single" w:sz="4" w:space="0" w:color="000000"/>
            </w:tcBorders>
            <w:shd w:fill="auto" w:val="clear"/>
          </w:tcPr>
          <w:p>
            <w:pPr>
              <w:pStyle w:val="111"/>
              <w:shd w:val="clear" w:color="auto" w:fill="auto"/>
              <w:spacing w:lineRule="auto" w:line="240" w:before="0" w:after="0"/>
              <w:jc w:val="left"/>
              <w:rPr>
                <w:rStyle w:val="11"/>
                <w:b/>
                <w:b/>
                <w:i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Область профессиональной служебной деятельности</w:t>
            </w:r>
          </w:p>
        </w:tc>
        <w:tc>
          <w:tcPr>
            <w:tcW w:w="5527" w:type="dxa"/>
            <w:tcBorders>
              <w:top w:val="outset" w:sz="6" w:space="0" w:color="000000"/>
              <w:left w:val="single" w:sz="4" w:space="0" w:color="000000"/>
              <w:bottom w:val="outset" w:sz="6" w:space="0" w:color="000000"/>
              <w:right w:val="single" w:sz="4" w:space="0" w:color="000000"/>
              <w:insideH w:val="outset" w:sz="6" w:space="0" w:color="000000"/>
              <w:insideV w:val="single" w:sz="4" w:space="0" w:color="000000"/>
            </w:tcBorders>
            <w:shd w:fill="auto" w:val="clear"/>
            <w:tcMar>
              <w:left w:w="22" w:type="dxa"/>
              <w:right w:w="15" w:type="dxa"/>
            </w:tcMar>
          </w:tcPr>
          <w:p>
            <w:pPr>
              <w:pStyle w:val="Normal"/>
              <w:ind w:left="54" w:right="144"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Регулирование промышленности</w:t>
            </w:r>
          </w:p>
        </w:tc>
      </w:tr>
      <w:tr>
        <w:trPr/>
        <w:tc>
          <w:tcPr>
            <w:tcW w:w="48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000000"/>
              <w:insideH w:val="outset" w:sz="6" w:space="0" w:color="000000"/>
              <w:insideV w:val="single" w:sz="4" w:space="0" w:color="000000"/>
            </w:tcBorders>
            <w:shd w:fill="auto" w:val="clear"/>
          </w:tcPr>
          <w:p>
            <w:pPr>
              <w:pStyle w:val="111"/>
              <w:shd w:val="clear" w:color="auto" w:fill="auto"/>
              <w:spacing w:lineRule="auto" w:line="240" w:before="0" w:after="0"/>
              <w:jc w:val="left"/>
              <w:rPr>
                <w:rStyle w:val="11"/>
                <w:b/>
                <w:b/>
                <w:i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 xml:space="preserve">Виды профессиональной служебной деятельности </w:t>
            </w:r>
          </w:p>
        </w:tc>
        <w:tc>
          <w:tcPr>
            <w:tcW w:w="5527" w:type="dxa"/>
            <w:tcBorders>
              <w:top w:val="outset" w:sz="6" w:space="0" w:color="000000"/>
              <w:left w:val="single" w:sz="4" w:space="0" w:color="000000"/>
              <w:bottom w:val="outset" w:sz="6" w:space="0" w:color="000000"/>
              <w:right w:val="single" w:sz="4" w:space="0" w:color="000000"/>
              <w:insideH w:val="outset" w:sz="6" w:space="0" w:color="000000"/>
              <w:insideV w:val="single" w:sz="4" w:space="0" w:color="000000"/>
            </w:tcBorders>
            <w:shd w:fill="auto" w:val="clear"/>
            <w:tcMar>
              <w:left w:w="22" w:type="dxa"/>
              <w:right w:w="15" w:type="dxa"/>
            </w:tcMar>
          </w:tcPr>
          <w:p>
            <w:pPr>
              <w:pStyle w:val="Normal"/>
              <w:suppressAutoHyphens w:val="false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- выработка и реализация государственной промышленной политики в установленной сфере деятельности;</w:t>
            </w:r>
          </w:p>
          <w:p>
            <w:pPr>
              <w:pStyle w:val="Normal"/>
              <w:suppressAutoHyphens w:val="false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- нормативное правовое регулирование в сфере обрабатывающей промышленности;</w:t>
            </w:r>
          </w:p>
          <w:p>
            <w:pPr>
              <w:pStyle w:val="Normal"/>
              <w:ind w:left="-15" w:right="144" w:hanging="0"/>
              <w:jc w:val="both"/>
              <w:rPr/>
            </w:pPr>
            <w:r>
              <w:rPr>
                <w:sz w:val="22"/>
                <w:szCs w:val="22"/>
              </w:rPr>
              <w:t xml:space="preserve">- инвестиционное планирование и контроль реализации инвестиционных программ в установленной сфере деятельности. </w:t>
            </w:r>
          </w:p>
        </w:tc>
      </w:tr>
      <w:tr>
        <w:trPr>
          <w:trHeight w:val="375" w:hRule="atLeast"/>
        </w:trPr>
        <w:tc>
          <w:tcPr>
            <w:tcW w:w="48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000000"/>
              <w:insideH w:val="outset" w:sz="6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b/>
                <w:b/>
                <w:i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Подчиненность должности</w:t>
            </w:r>
          </w:p>
          <w:p>
            <w:pPr>
              <w:pStyle w:val="Normal"/>
              <w:rPr>
                <w:b/>
                <w:b/>
                <w:i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</w:r>
          </w:p>
        </w:tc>
        <w:tc>
          <w:tcPr>
            <w:tcW w:w="5527" w:type="dxa"/>
            <w:tcBorders>
              <w:top w:val="outset" w:sz="6" w:space="0" w:color="000000"/>
              <w:left w:val="single" w:sz="4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fill="auto" w:val="clear"/>
            <w:tcMar>
              <w:left w:w="42" w:type="dxa"/>
            </w:tcMar>
          </w:tcPr>
          <w:p>
            <w:pPr>
              <w:pStyle w:val="Normal"/>
              <w:ind w:left="54" w:right="144" w:hang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Подчиняется начальнику отдела отраслевых секторов промышленности Управления промышленной политики Департамента промышленности Ханты-Мансийского автономного округа – Югры, </w:t>
            </w:r>
          </w:p>
        </w:tc>
      </w:tr>
      <w:tr>
        <w:trPr>
          <w:trHeight w:val="375" w:hRule="atLeast"/>
        </w:trPr>
        <w:tc>
          <w:tcPr>
            <w:tcW w:w="48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fill="auto" w:val="clear"/>
          </w:tcPr>
          <w:p>
            <w:pPr>
              <w:pStyle w:val="Normal"/>
              <w:rPr>
                <w:b/>
                <w:b/>
                <w:i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Количество подчиненных сотрудников</w:t>
            </w:r>
          </w:p>
          <w:p>
            <w:pPr>
              <w:pStyle w:val="Normal"/>
              <w:rPr>
                <w:b/>
                <w:b/>
                <w:i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</w:r>
          </w:p>
        </w:tc>
        <w:tc>
          <w:tcPr>
            <w:tcW w:w="552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fill="auto" w:val="clear"/>
            <w:tcMar>
              <w:left w:w="-11" w:type="dxa"/>
            </w:tcMar>
          </w:tcPr>
          <w:p>
            <w:pPr>
              <w:pStyle w:val="Normal"/>
              <w:ind w:left="54" w:right="144" w:hanging="0"/>
              <w:jc w:val="both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375" w:hRule="atLeast"/>
        </w:trPr>
        <w:tc>
          <w:tcPr>
            <w:tcW w:w="48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fill="auto" w:val="clear"/>
          </w:tcPr>
          <w:p>
            <w:pPr>
              <w:pStyle w:val="Normal"/>
              <w:rPr>
                <w:b/>
                <w:b/>
                <w:i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Условия работы (график и режим работы, оплата труда, частота командировок, допуск к государственной тайне, испытательный срок)</w:t>
            </w:r>
          </w:p>
          <w:p>
            <w:pPr>
              <w:pStyle w:val="Normal"/>
              <w:rPr>
                <w:b/>
                <w:b/>
                <w:i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</w:r>
          </w:p>
        </w:tc>
        <w:tc>
          <w:tcPr>
            <w:tcW w:w="552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fill="auto" w:val="clear"/>
            <w:tcMar>
              <w:left w:w="-11" w:type="dxa"/>
            </w:tcMar>
          </w:tcPr>
          <w:p>
            <w:pPr>
              <w:pStyle w:val="Normal"/>
              <w:ind w:left="54" w:right="144" w:hang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Продолжительность и режим работы:  </w:t>
            </w:r>
          </w:p>
          <w:p>
            <w:pPr>
              <w:pStyle w:val="Normal"/>
              <w:ind w:left="54" w:right="144" w:hang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для мужчин - 40 часов в неделю,  </w:t>
            </w:r>
          </w:p>
          <w:p>
            <w:pPr>
              <w:pStyle w:val="Normal"/>
              <w:ind w:left="54" w:right="144" w:hang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для женщин - 36 часов в неделю,</w:t>
            </w:r>
          </w:p>
          <w:p>
            <w:pPr>
              <w:pStyle w:val="Normal"/>
              <w:ind w:left="54" w:right="144" w:hang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выходные дни - суббота и воскресенье,</w:t>
            </w:r>
          </w:p>
          <w:p>
            <w:pPr>
              <w:pStyle w:val="Normal"/>
              <w:ind w:left="54" w:right="144" w:hang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ненормированный рабочий день.</w:t>
            </w:r>
          </w:p>
        </w:tc>
      </w:tr>
      <w:tr>
        <w:trPr>
          <w:trHeight w:val="375" w:hRule="atLeast"/>
        </w:trPr>
        <w:tc>
          <w:tcPr>
            <w:tcW w:w="48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fill="auto" w:val="clear"/>
          </w:tcPr>
          <w:p>
            <w:pPr>
              <w:pStyle w:val="Normal"/>
              <w:rPr>
                <w:b/>
                <w:b/>
                <w:i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 xml:space="preserve">Основные задачи и обязанности </w:t>
            </w:r>
          </w:p>
          <w:p>
            <w:pPr>
              <w:pStyle w:val="Normal"/>
              <w:rPr>
                <w:b/>
                <w:b/>
                <w:i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по должности (кратко)</w:t>
            </w:r>
          </w:p>
          <w:p>
            <w:pPr>
              <w:pStyle w:val="Normal"/>
              <w:textAlignment w:val="baseline"/>
              <w:rPr>
                <w:b/>
                <w:b/>
                <w:bCs/>
                <w:i/>
                <w:i/>
                <w:sz w:val="22"/>
                <w:szCs w:val="22"/>
                <w:lang w:eastAsia="ru-RU"/>
              </w:rPr>
            </w:pPr>
            <w:r>
              <w:rPr>
                <w:b/>
                <w:bCs/>
                <w:i/>
                <w:sz w:val="22"/>
                <w:szCs w:val="22"/>
                <w:lang w:eastAsia="ru-RU"/>
              </w:rPr>
            </w:r>
          </w:p>
        </w:tc>
        <w:tc>
          <w:tcPr>
            <w:tcW w:w="552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fill="auto" w:val="clear"/>
            <w:tcMar>
              <w:left w:w="-11" w:type="dxa"/>
            </w:tcMar>
          </w:tcPr>
          <w:p>
            <w:pPr>
              <w:pStyle w:val="Normal"/>
              <w:widowControl/>
              <w:suppressAutoHyphens w:val="true"/>
              <w:bidi w:val="0"/>
              <w:spacing w:lineRule="auto" w:line="240" w:before="0" w:after="0"/>
              <w:ind w:left="57" w:right="0" w:hang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Осуществляет:</w:t>
            </w:r>
          </w:p>
          <w:p>
            <w:pPr>
              <w:pStyle w:val="Normal"/>
              <w:widowControl/>
              <w:suppressAutoHyphens w:val="true"/>
              <w:bidi w:val="0"/>
              <w:spacing w:lineRule="auto" w:line="240" w:before="0" w:after="0"/>
              <w:ind w:left="57" w:right="0" w:hanging="0"/>
              <w:jc w:val="both"/>
              <w:rPr>
                <w:rFonts w:ascii="Times New Roman" w:hAnsi="Times New Roman"/>
              </w:rPr>
            </w:pPr>
            <w:r>
              <w:rPr/>
            </w:r>
          </w:p>
          <w:p>
            <w:pPr>
              <w:pStyle w:val="Normal"/>
              <w:widowControl/>
              <w:suppressAutoHyphens w:val="true"/>
              <w:bidi w:val="0"/>
              <w:spacing w:lineRule="auto" w:line="240" w:before="0" w:after="0"/>
              <w:ind w:hang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подготовку проектов ответов на запросы государственных органов Российской Федерации, автономного округа, субъектов Российской Федерации, а также учреждений, организаций и граждан по вопросам, относящимся к компетенции отдела;</w:t>
            </w:r>
          </w:p>
          <w:p>
            <w:pPr>
              <w:pStyle w:val="Normal"/>
              <w:widowControl/>
              <w:suppressAutoHyphens w:val="true"/>
              <w:bidi w:val="0"/>
              <w:spacing w:lineRule="auto" w:line="240" w:before="0" w:after="0"/>
              <w:ind w:hang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взаимодействие с организациями, реализующими свою деятельность по направлению, отнесенному к компетенции отдела;</w:t>
            </w:r>
          </w:p>
          <w:p>
            <w:pPr>
              <w:pStyle w:val="Normal"/>
              <w:spacing w:before="0" w:after="0"/>
              <w:ind w:hang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формирование и ведение реестра предприятий обрабатывающей промышленности автономного округа;</w:t>
            </w:r>
          </w:p>
          <w:p>
            <w:pPr>
              <w:pStyle w:val="Normal"/>
              <w:spacing w:before="0" w:after="0"/>
              <w:ind w:hang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подготовку аналитических материалов, информационных справок, презентаций по вопросам, отнесённым к компетенции отдела;</w:t>
            </w:r>
          </w:p>
          <w:p>
            <w:pPr>
              <w:pStyle w:val="Normal"/>
              <w:spacing w:before="0" w:after="0"/>
              <w:ind w:hang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ведение статистического учета и предоставление статистической отчетности в уполномоченные органы в соответствии с компетенцией отдела;</w:t>
            </w:r>
          </w:p>
          <w:p>
            <w:pPr>
              <w:pStyle w:val="Normal"/>
              <w:spacing w:before="0" w:after="0"/>
              <w:ind w:hang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ведение в установленном порядке делопроизводства, работу по формированию исполненных документов в дела в соответствие с утвержденной номенклатурой дел;</w:t>
            </w:r>
          </w:p>
          <w:p>
            <w:pPr>
              <w:pStyle w:val="Normal"/>
              <w:spacing w:before="0" w:after="0"/>
              <w:ind w:hanging="0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исполнение поручений начальника отдела.</w:t>
            </w:r>
          </w:p>
          <w:p>
            <w:pPr>
              <w:pStyle w:val="Normal"/>
              <w:spacing w:before="0" w:after="0"/>
              <w:ind w:firstLine="708"/>
              <w:contextualSpacing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spacing w:before="0" w:after="0"/>
              <w:ind w:hanging="0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Участвует совместно с подразделениями Департамента:</w:t>
            </w:r>
          </w:p>
          <w:p>
            <w:pPr>
              <w:pStyle w:val="Normal"/>
              <w:spacing w:before="0" w:after="0"/>
              <w:ind w:hanging="0"/>
              <w:contextualSpacing/>
              <w:jc w:val="both"/>
              <w:rPr>
                <w:rFonts w:ascii="Times New Roman" w:hAnsi="Times New Roman"/>
              </w:rPr>
            </w:pPr>
            <w:r>
              <w:rPr/>
            </w:r>
          </w:p>
          <w:p>
            <w:pPr>
              <w:pStyle w:val="Normal"/>
              <w:widowControl/>
              <w:suppressAutoHyphens w:val="true"/>
              <w:bidi w:val="0"/>
              <w:spacing w:lineRule="auto" w:line="240" w:before="0" w:after="0"/>
              <w:ind w:left="0" w:right="0" w:hang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в разработке и реализации государственных и (или) ведомственных целевых программ автономного округа в сфере обрабатывающей промышленности;</w:t>
            </w:r>
          </w:p>
          <w:p>
            <w:pPr>
              <w:pStyle w:val="Normal"/>
              <w:spacing w:before="0" w:after="0"/>
              <w:ind w:hanging="0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в подготовке ежегодных докладов о результатах и основных направлениях деятельности Департамента</w:t>
            </w:r>
            <w:bookmarkStart w:id="0" w:name="sub_45"/>
            <w:r>
              <w:rPr>
                <w:sz w:val="22"/>
                <w:szCs w:val="22"/>
              </w:rPr>
              <w:t>;</w:t>
            </w:r>
          </w:p>
          <w:p>
            <w:pPr>
              <w:pStyle w:val="Normal"/>
              <w:spacing w:before="0" w:after="0"/>
              <w:ind w:hanging="0"/>
              <w:contextualSpacing/>
              <w:jc w:val="both"/>
              <w:rPr>
                <w:sz w:val="22"/>
                <w:szCs w:val="22"/>
              </w:rPr>
            </w:pPr>
            <w:bookmarkStart w:id="1" w:name="sub_51"/>
            <w:bookmarkEnd w:id="0"/>
            <w:r>
              <w:rPr>
                <w:sz w:val="22"/>
                <w:szCs w:val="22"/>
              </w:rPr>
              <w:t xml:space="preserve">- в </w:t>
            </w:r>
            <w:r>
              <w:rPr>
                <w:sz w:val="22"/>
                <w:szCs w:val="22"/>
                <w:lang w:val="ru-RU"/>
              </w:rPr>
              <w:t>реализации</w:t>
            </w:r>
            <w:r>
              <w:rPr>
                <w:sz w:val="22"/>
                <w:szCs w:val="22"/>
              </w:rPr>
              <w:t xml:space="preserve"> и контроле реализации законодательства Российской Федерации и автономного округа в сфере развития промышленности</w:t>
            </w:r>
            <w:bookmarkStart w:id="2" w:name="sub_53"/>
            <w:bookmarkEnd w:id="1"/>
            <w:r>
              <w:rPr>
                <w:sz w:val="22"/>
                <w:szCs w:val="22"/>
              </w:rPr>
              <w:t>;</w:t>
            </w:r>
          </w:p>
          <w:p>
            <w:pPr>
              <w:pStyle w:val="Normal"/>
              <w:spacing w:before="0" w:after="0"/>
              <w:ind w:hanging="0"/>
              <w:contextualSpacing/>
              <w:jc w:val="both"/>
              <w:rPr/>
            </w:pPr>
            <w:r>
              <w:rPr>
                <w:sz w:val="22"/>
                <w:szCs w:val="22"/>
              </w:rPr>
              <w:t xml:space="preserve">- в подготовке предложений по вопросам утверждения </w:t>
            </w:r>
            <w:hyperlink r:id="rId2">
              <w:r>
                <w:rPr>
                  <w:rStyle w:val="Style18"/>
                  <w:color w:val="auto"/>
                  <w:sz w:val="22"/>
                  <w:szCs w:val="22"/>
                  <w:u w:val="none"/>
                </w:rPr>
                <w:t>служебного распорядка</w:t>
              </w:r>
            </w:hyperlink>
            <w:r>
              <w:rPr>
                <w:sz w:val="22"/>
                <w:szCs w:val="22"/>
              </w:rPr>
              <w:t>, административных, должностных и других регламентов Департамента</w:t>
            </w:r>
            <w:bookmarkEnd w:id="2"/>
            <w:r>
              <w:rPr>
                <w:sz w:val="22"/>
                <w:szCs w:val="22"/>
              </w:rPr>
              <w:t>;</w:t>
            </w:r>
          </w:p>
          <w:p>
            <w:pPr>
              <w:pStyle w:val="Normal"/>
              <w:spacing w:before="0" w:after="0"/>
              <w:ind w:hanging="0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в организации и проведении круглых столов, конференций, выставок, презентаций в сфере обрабатывающих отраслей промышленности;</w:t>
            </w:r>
          </w:p>
          <w:p>
            <w:pPr>
              <w:pStyle w:val="Normal"/>
              <w:spacing w:beforeAutospacing="1" w:afterAutospacing="1"/>
              <w:ind w:hanging="0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в размещении на официальных органах исполнительной власти автономного округа в информационно-телекоммуникационной сети «Интернет» информации, связанной с развитием промышленности в автономном округе;</w:t>
            </w:r>
          </w:p>
          <w:p>
            <w:pPr>
              <w:pStyle w:val="Normal"/>
              <w:spacing w:beforeAutospacing="1" w:afterAutospacing="1"/>
              <w:ind w:hanging="0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иные функции, предусмотренные законодательством Российской Федерации, актами нормативного и ненормативного характера Департамента, поручениями директора Департамента.</w:t>
            </w:r>
            <w:bookmarkStart w:id="3" w:name="sub_31"/>
            <w:bookmarkEnd w:id="3"/>
          </w:p>
          <w:p>
            <w:pPr>
              <w:pStyle w:val="Normal"/>
              <w:suppressAutoHyphens w:val="false"/>
              <w:spacing w:lineRule="auto" w:line="276" w:beforeAutospacing="1" w:after="0"/>
              <w:ind w:hanging="0"/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</w:p>
          <w:p>
            <w:pPr>
              <w:pStyle w:val="Normal"/>
              <w:suppressAutoHyphens w:val="false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Анализирует:</w:t>
            </w:r>
          </w:p>
          <w:p>
            <w:pPr>
              <w:pStyle w:val="Normal"/>
              <w:suppressAutoHyphens w:val="false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</w:r>
          </w:p>
          <w:p>
            <w:pPr>
              <w:pStyle w:val="Normal"/>
              <w:suppressAutoHyphens w:val="false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- практику применения действующего законодательства Российской Федерации и законодательства автономного </w:t>
              <w:br/>
              <w:t>округа в сфере обрабатывающих отраслей промышленности;</w:t>
            </w:r>
          </w:p>
          <w:p>
            <w:pPr>
              <w:pStyle w:val="Normal"/>
              <w:suppressAutoHyphens w:val="false"/>
              <w:jc w:val="both"/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- статистические и отчетные данные о результатах деятельности организаций в обрабатывающих секторах промышленности автономного округа и субъектов Российской Федерации.</w:t>
            </w:r>
          </w:p>
        </w:tc>
      </w:tr>
      <w:tr>
        <w:trPr>
          <w:trHeight w:val="375" w:hRule="atLeast"/>
        </w:trPr>
        <w:tc>
          <w:tcPr>
            <w:tcW w:w="48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fill="auto" w:val="clear"/>
          </w:tcPr>
          <w:p>
            <w:pPr>
              <w:pStyle w:val="Normal"/>
              <w:rPr>
                <w:b/>
                <w:b/>
                <w:i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Работа подразумевает:</w:t>
            </w:r>
          </w:p>
          <w:p>
            <w:pPr>
              <w:pStyle w:val="Normal"/>
              <w:ind w:left="397" w:hanging="0"/>
              <w:rPr>
                <w:b/>
                <w:b/>
                <w:i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работу с документами;</w:t>
            </w:r>
          </w:p>
          <w:p>
            <w:pPr>
              <w:pStyle w:val="Normal"/>
              <w:ind w:left="397" w:hanging="0"/>
              <w:rPr>
                <w:b/>
                <w:b/>
                <w:i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оказание государственных услуг;</w:t>
            </w:r>
          </w:p>
          <w:p>
            <w:pPr>
              <w:pStyle w:val="Normal"/>
              <w:ind w:left="397" w:hanging="0"/>
              <w:rPr>
                <w:b/>
                <w:b/>
                <w:i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внешние коммуникации (с гражданами, общественностью, сообществами и т.д.);</w:t>
            </w:r>
          </w:p>
          <w:p>
            <w:pPr>
              <w:pStyle w:val="Normal"/>
              <w:ind w:left="397" w:hanging="0"/>
              <w:rPr>
                <w:b/>
                <w:b/>
                <w:i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внутреннее взаимодействие;</w:t>
            </w:r>
          </w:p>
          <w:p>
            <w:pPr>
              <w:pStyle w:val="Normal"/>
              <w:ind w:left="397" w:hanging="0"/>
              <w:rPr>
                <w:b/>
                <w:b/>
                <w:i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другое_____________________</w:t>
            </w:r>
          </w:p>
          <w:p>
            <w:pPr>
              <w:pStyle w:val="Normal"/>
              <w:ind w:left="397" w:hanging="0"/>
              <w:rPr>
                <w:b/>
                <w:b/>
                <w:i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(выбрать)</w:t>
            </w:r>
          </w:p>
        </w:tc>
        <w:tc>
          <w:tcPr>
            <w:tcW w:w="552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fill="auto" w:val="clear"/>
            <w:tcMar>
              <w:left w:w="-11" w:type="dxa"/>
            </w:tcMar>
          </w:tcPr>
          <w:p>
            <w:pPr>
              <w:pStyle w:val="Normal"/>
              <w:ind w:left="54" w:right="144" w:hang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работа с документами;</w:t>
            </w:r>
          </w:p>
          <w:p>
            <w:pPr>
              <w:pStyle w:val="Normal"/>
              <w:ind w:left="54" w:right="144" w:hang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внешние коммуникации (с гражданами, предприятиями и организациями, общественностью, федеральными и муниципальными органами государственной власти);</w:t>
            </w:r>
          </w:p>
          <w:p>
            <w:pPr>
              <w:pStyle w:val="Normal"/>
              <w:ind w:left="54" w:right="144" w:hang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внутреннее взаимодействие (между структурными подразделениями Департамента)</w:t>
            </w:r>
          </w:p>
        </w:tc>
      </w:tr>
      <w:tr>
        <w:trPr>
          <w:trHeight w:val="307" w:hRule="atLeast"/>
        </w:trPr>
        <w:tc>
          <w:tcPr>
            <w:tcW w:w="48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fill="auto" w:val="clear"/>
          </w:tcPr>
          <w:p>
            <w:pPr>
              <w:pStyle w:val="Normal"/>
              <w:rPr>
                <w:b/>
                <w:b/>
                <w:i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Образование кандидата:</w:t>
            </w:r>
          </w:p>
          <w:p>
            <w:pPr>
              <w:pStyle w:val="Normal"/>
              <w:ind w:left="360" w:hanging="0"/>
              <w:rPr>
                <w:b/>
                <w:b/>
                <w:i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уровень образования;</w:t>
            </w:r>
          </w:p>
          <w:p>
            <w:pPr>
              <w:pStyle w:val="Normal"/>
              <w:ind w:left="360" w:hanging="0"/>
              <w:rPr>
                <w:b/>
                <w:b/>
                <w:i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направление (при необходимости)</w:t>
            </w:r>
          </w:p>
          <w:p>
            <w:pPr>
              <w:pStyle w:val="Normal"/>
              <w:ind w:left="360" w:hanging="0"/>
              <w:rPr>
                <w:b/>
                <w:b/>
                <w:i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специальность (при необходимости)</w:t>
            </w:r>
          </w:p>
        </w:tc>
        <w:tc>
          <w:tcPr>
            <w:tcW w:w="552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fill="auto" w:val="clear"/>
            <w:tcMar>
              <w:left w:w="-11" w:type="dxa"/>
            </w:tcMar>
          </w:tcPr>
          <w:p>
            <w:pPr>
              <w:pStyle w:val="Normal"/>
              <w:ind w:left="54" w:right="144" w:hanging="0"/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Высшее образование - специалитет, магистратура </w:t>
            </w:r>
          </w:p>
          <w:p>
            <w:pPr>
              <w:pStyle w:val="Normal"/>
              <w:ind w:left="54" w:right="144" w:hanging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 xml:space="preserve">по направлениям подготовки (специальности(-ям) профессионального образования: </w:t>
            </w:r>
            <w:r>
              <w:rPr>
                <w:rFonts w:eastAsia="Calibri"/>
                <w:sz w:val="22"/>
                <w:szCs w:val="22"/>
                <w:lang w:eastAsia="ru-RU"/>
              </w:rPr>
              <w:t xml:space="preserve">«Государственное и муниципальное управление», «Экономика и управление на предприятии» </w:t>
            </w:r>
            <w:r>
              <w:rPr>
                <w:rFonts w:eastAsia="Calibri"/>
                <w:sz w:val="22"/>
                <w:szCs w:val="22"/>
                <w:lang w:eastAsia="en-US"/>
              </w:rPr>
              <w:t>или иному направлению подготовки (специальности), для которого законодательством об образовании Российской Федерации установлено соответствие данным направлениям подготовки (специальностям), указанным в предыдущих перечнях профессий, специальностей и направлений подготовки.</w:t>
            </w:r>
          </w:p>
        </w:tc>
      </w:tr>
      <w:tr>
        <w:trPr>
          <w:trHeight w:val="307" w:hRule="atLeast"/>
        </w:trPr>
        <w:tc>
          <w:tcPr>
            <w:tcW w:w="48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fill="auto" w:val="clear"/>
          </w:tcPr>
          <w:p>
            <w:pPr>
              <w:pStyle w:val="Normal"/>
              <w:rPr>
                <w:b/>
                <w:b/>
                <w:i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Стаж работы:</w:t>
            </w:r>
          </w:p>
          <w:p>
            <w:pPr>
              <w:pStyle w:val="Normal"/>
              <w:ind w:left="397" w:hanging="0"/>
              <w:rPr>
                <w:b/>
                <w:b/>
                <w:i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по специальности;</w:t>
            </w:r>
          </w:p>
          <w:p>
            <w:pPr>
              <w:pStyle w:val="Normal"/>
              <w:ind w:left="397" w:hanging="0"/>
              <w:rPr>
                <w:b/>
                <w:b/>
                <w:i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государственной службы;</w:t>
            </w:r>
          </w:p>
          <w:p>
            <w:pPr>
              <w:pStyle w:val="Normal"/>
              <w:ind w:left="397" w:hanging="0"/>
              <w:rPr>
                <w:rFonts w:ascii="Segoe UI" w:hAnsi="Segoe UI" w:cs="Segoe UI"/>
                <w:b/>
                <w:b/>
                <w:i/>
                <w:i/>
                <w:sz w:val="22"/>
                <w:szCs w:val="22"/>
                <w:lang w:eastAsia="ru-RU"/>
              </w:rPr>
            </w:pPr>
            <w:r>
              <w:rPr>
                <w:b/>
                <w:i/>
                <w:sz w:val="22"/>
                <w:szCs w:val="22"/>
              </w:rPr>
              <w:t>управленческий стаж</w:t>
            </w:r>
          </w:p>
        </w:tc>
        <w:tc>
          <w:tcPr>
            <w:tcW w:w="552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fill="auto" w:val="clear"/>
            <w:tcMar>
              <w:left w:w="-11" w:type="dxa"/>
            </w:tcMar>
          </w:tcPr>
          <w:p>
            <w:pPr>
              <w:pStyle w:val="Normal"/>
              <w:widowControl w:val="false"/>
              <w:suppressAutoHyphens w:val="false"/>
              <w:spacing w:before="0" w:after="0"/>
              <w:ind w:hanging="0"/>
              <w:jc w:val="both"/>
              <w:rPr/>
            </w:pPr>
            <w:r>
              <w:rPr>
                <w:sz w:val="22"/>
                <w:szCs w:val="22"/>
              </w:rPr>
              <w:t>Для замещения должности главного-специалиста эксперта отдела не установлено требований к стажу гражданской службы или работы по специальности, направлению подготовки.</w:t>
            </w:r>
          </w:p>
        </w:tc>
      </w:tr>
      <w:tr>
        <w:trPr>
          <w:trHeight w:val="307" w:hRule="atLeast"/>
        </w:trPr>
        <w:tc>
          <w:tcPr>
            <w:tcW w:w="48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fill="auto" w:val="clear"/>
          </w:tcPr>
          <w:p>
            <w:pPr>
              <w:pStyle w:val="Normal"/>
              <w:rPr>
                <w:b/>
                <w:b/>
                <w:i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Опыт работы в сфере __________ (указать)</w:t>
            </w:r>
          </w:p>
          <w:p>
            <w:pPr>
              <w:pStyle w:val="ListParagraph"/>
              <w:rPr>
                <w:b/>
                <w:b/>
                <w:i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</w:r>
          </w:p>
        </w:tc>
        <w:tc>
          <w:tcPr>
            <w:tcW w:w="552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fill="auto" w:val="clear"/>
            <w:tcMar>
              <w:left w:w="-11" w:type="dxa"/>
            </w:tcMar>
          </w:tcPr>
          <w:p>
            <w:pPr>
              <w:pStyle w:val="Normal"/>
              <w:ind w:left="54" w:right="144" w:hang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менее __ лет.</w:t>
            </w:r>
          </w:p>
        </w:tc>
      </w:tr>
      <w:tr>
        <w:trPr>
          <w:trHeight w:val="307" w:hRule="atLeast"/>
        </w:trPr>
        <w:tc>
          <w:tcPr>
            <w:tcW w:w="48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fill="auto" w:val="clear"/>
          </w:tcPr>
          <w:p>
            <w:pPr>
              <w:pStyle w:val="Normal"/>
              <w:rPr>
                <w:b/>
                <w:b/>
                <w:i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Показатели эффективности и результативности деятельности</w:t>
            </w:r>
          </w:p>
        </w:tc>
        <w:tc>
          <w:tcPr>
            <w:tcW w:w="552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fill="auto" w:val="clear"/>
            <w:tcMar>
              <w:left w:w="-11" w:type="dxa"/>
            </w:tcMar>
          </w:tcPr>
          <w:p>
            <w:pPr>
              <w:pStyle w:val="Normal"/>
              <w:suppressAutoHyphens w:val="false"/>
              <w:jc w:val="both"/>
              <w:rPr/>
            </w:pPr>
            <w:r>
              <w:rPr>
                <w:rFonts w:eastAsia="Calibri" w:eastAsiaTheme="minorHAnsi"/>
                <w:sz w:val="22"/>
                <w:szCs w:val="22"/>
                <w:lang w:eastAsia="en-US"/>
              </w:rPr>
              <w:t xml:space="preserve">- своевременность </w:t>
            </w:r>
            <w:r>
              <w:rPr>
                <w:rFonts w:eastAsia="Calibri" w:eastAsiaTheme="minorHAnsi"/>
                <w:sz w:val="22"/>
                <w:szCs w:val="22"/>
                <w:lang w:eastAsia="en-US"/>
              </w:rPr>
              <w:t>и оперативность выполнения</w:t>
            </w:r>
            <w:r>
              <w:rPr>
                <w:rFonts w:eastAsia="Calibri" w:eastAsiaTheme="minorHAnsi"/>
                <w:sz w:val="22"/>
                <w:szCs w:val="22"/>
                <w:lang w:eastAsia="en-US"/>
              </w:rPr>
              <w:t xml:space="preserve"> поручений начальника отдела;</w:t>
            </w:r>
          </w:p>
          <w:p>
            <w:pPr>
              <w:pStyle w:val="Normal"/>
              <w:suppressAutoHyphens w:val="false"/>
              <w:jc w:val="both"/>
              <w:rPr/>
            </w:pPr>
            <w:r>
              <w:rPr>
                <w:rFonts w:eastAsia="Calibri" w:eastAsiaTheme="minorHAnsi"/>
                <w:sz w:val="22"/>
                <w:szCs w:val="22"/>
                <w:lang w:eastAsia="en-US"/>
              </w:rPr>
              <w:t>- соблюдение законодательства Российской Федерации, законодательства автономного округа и локальных нормативных актов в установленной сфере деятельности;</w:t>
            </w:r>
          </w:p>
          <w:p>
            <w:pPr>
              <w:pStyle w:val="Normal"/>
              <w:widowControl w:val="false"/>
              <w:spacing w:before="0" w:after="0"/>
              <w:ind w:hanging="0"/>
              <w:jc w:val="both"/>
              <w:rPr>
                <w:sz w:val="22"/>
                <w:szCs w:val="22"/>
              </w:rPr>
            </w:pPr>
            <w:r>
              <w:rPr>
                <w:rFonts w:eastAsia="Calibri" w:eastAsiaTheme="minorHAnsi"/>
                <w:sz w:val="22"/>
                <w:szCs w:val="22"/>
              </w:rPr>
              <w:t>- качество выполненной работы (подготовка проектов документов в соответствии с установленными требованиями, полное и логичное изложение материала, юридически грамотное составление документа, отсутствии стилистических и грамматических ошибок);</w:t>
            </w:r>
          </w:p>
          <w:p>
            <w:pPr>
              <w:pStyle w:val="Normal"/>
              <w:widowControl w:val="false"/>
              <w:spacing w:before="0" w:after="0"/>
              <w:ind w:hanging="0"/>
              <w:jc w:val="both"/>
              <w:rPr>
                <w:sz w:val="22"/>
                <w:szCs w:val="22"/>
              </w:rPr>
            </w:pPr>
            <w:r>
              <w:rPr>
                <w:rFonts w:eastAsia="Calibri" w:eastAsiaTheme="minorHAnsi"/>
                <w:sz w:val="22"/>
                <w:szCs w:val="22"/>
              </w:rPr>
              <w:t>- способность четко организовывать и планировать выполнение порученных заданий, умение рационально использовать рабочее время, расставлять приоритеты;</w:t>
            </w:r>
          </w:p>
          <w:p>
            <w:pPr>
              <w:pStyle w:val="Normal"/>
              <w:widowControl w:val="false"/>
              <w:spacing w:before="0" w:after="0"/>
              <w:ind w:hanging="0"/>
              <w:jc w:val="both"/>
              <w:rPr>
                <w:sz w:val="22"/>
                <w:szCs w:val="22"/>
              </w:rPr>
            </w:pPr>
            <w:r>
              <w:rPr>
                <w:rFonts w:eastAsia="Calibri" w:eastAsiaTheme="minorHAnsi"/>
                <w:sz w:val="22"/>
                <w:szCs w:val="22"/>
              </w:rPr>
              <w:t>- выполняемый объем работы и интенсивность труда, способность сохранять высокую работоспособность;</w:t>
            </w:r>
          </w:p>
          <w:p>
            <w:pPr>
              <w:pStyle w:val="Normal"/>
              <w:widowControl w:val="false"/>
              <w:spacing w:before="0" w:after="0"/>
              <w:ind w:hanging="0"/>
              <w:jc w:val="both"/>
              <w:rPr>
                <w:sz w:val="22"/>
                <w:szCs w:val="22"/>
              </w:rPr>
            </w:pPr>
            <w:r>
              <w:rPr>
                <w:rFonts w:eastAsia="Calibri" w:eastAsiaTheme="minorHAnsi"/>
                <w:sz w:val="22"/>
                <w:szCs w:val="22"/>
              </w:rPr>
              <w:t>- соблюдение требований служебного распорядка Департамента, Кодекса этики и служебного поведения государственных гражданских служащих автономного округа;</w:t>
            </w:r>
          </w:p>
          <w:p>
            <w:pPr>
              <w:pStyle w:val="Normal"/>
              <w:widowControl w:val="false"/>
              <w:spacing w:before="0" w:after="0"/>
              <w:ind w:hanging="0"/>
              <w:jc w:val="both"/>
              <w:rPr>
                <w:sz w:val="22"/>
                <w:szCs w:val="22"/>
              </w:rPr>
            </w:pPr>
            <w:r>
              <w:rPr>
                <w:rFonts w:eastAsia="Calibri" w:eastAsiaTheme="minorHAnsi"/>
                <w:sz w:val="22"/>
                <w:szCs w:val="22"/>
              </w:rPr>
              <w:t>- творческий подход к решению поставленных задач, активность и инициатива в освоении новых компьютерных и информационных технологий, способность быстро адаптироваться к новым условиям и требованиям;</w:t>
            </w:r>
          </w:p>
          <w:p>
            <w:pPr>
              <w:pStyle w:val="Normal"/>
              <w:widowControl w:val="false"/>
              <w:spacing w:before="0" w:after="0"/>
              <w:ind w:hanging="0"/>
              <w:jc w:val="both"/>
              <w:rPr/>
            </w:pPr>
            <w:r>
              <w:rPr>
                <w:rFonts w:eastAsia="Calibri" w:eastAsiaTheme="minorHAnsi"/>
                <w:sz w:val="22"/>
                <w:szCs w:val="22"/>
              </w:rPr>
              <w:t>- осознание ответственности за последствия своих действий, принимаемых решений;</w:t>
            </w:r>
          </w:p>
          <w:p>
            <w:pPr>
              <w:pStyle w:val="Normal"/>
              <w:suppressAutoHyphens w:val="false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 w:eastAsiaTheme="minorHAnsi"/>
                <w:sz w:val="22"/>
                <w:szCs w:val="22"/>
                <w:lang w:eastAsia="en-US"/>
              </w:rPr>
              <w:t>- своевременность подготовки проектов ответов на обращения, запросы, представления, информации;</w:t>
            </w:r>
          </w:p>
          <w:p>
            <w:pPr>
              <w:pStyle w:val="Normal"/>
              <w:suppressAutoHyphens w:val="false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 w:eastAsiaTheme="minorHAnsi"/>
                <w:sz w:val="22"/>
                <w:szCs w:val="22"/>
                <w:lang w:eastAsia="en-US"/>
              </w:rPr>
              <w:t>- отсутствие установленных фактов нарушений законодательства Российской Федерации, законодательства автономного округа и иных нормативных правовых актов в установленной сфере деятельности;</w:t>
            </w:r>
          </w:p>
          <w:p>
            <w:pPr>
              <w:pStyle w:val="Normal"/>
              <w:suppressAutoHyphens w:val="false"/>
              <w:jc w:val="both"/>
              <w:rPr/>
            </w:pPr>
            <w:r>
              <w:rPr>
                <w:rFonts w:eastAsia="Calibri"/>
                <w:sz w:val="22"/>
                <w:szCs w:val="22"/>
                <w:lang w:eastAsia="en-US"/>
              </w:rPr>
              <w:t>- способность в короткие сроки выполнять определённый объем работы;</w:t>
            </w:r>
          </w:p>
          <w:p>
            <w:pPr>
              <w:pStyle w:val="Normal"/>
              <w:suppressAutoHyphens w:val="false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- активность и инициативность в освоении новых компьютерных и информационных технологий;</w:t>
            </w:r>
          </w:p>
          <w:p>
            <w:pPr>
              <w:pStyle w:val="Normal"/>
              <w:tabs>
                <w:tab w:val="clear" w:pos="708"/>
                <w:tab w:val="left" w:pos="227" w:leader="none"/>
              </w:tabs>
              <w:suppressAutoHyphens w:val="false"/>
              <w:jc w:val="both"/>
              <w:rPr/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- способность быстро адаптироваться </w:t>
              <w:br/>
              <w:t>к новым условиям и требованиям, способность к получению новых профессиональных знаний и навыков;</w:t>
            </w:r>
          </w:p>
          <w:p>
            <w:pPr>
              <w:pStyle w:val="Normal"/>
              <w:ind w:left="54" w:right="144" w:hang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соблюдение установленных законодательством сроков рассмотрения поступивших обращений граждан;</w:t>
            </w:r>
          </w:p>
          <w:p>
            <w:pPr>
              <w:pStyle w:val="Normal"/>
              <w:ind w:left="54" w:right="144" w:hang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удовлетворенность полнотой и актуальностью предоставленной информации при рассмотрении поступивших обращений;</w:t>
            </w:r>
          </w:p>
          <w:p>
            <w:pPr>
              <w:pStyle w:val="Normal"/>
              <w:ind w:left="54" w:right="144" w:hang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обеспечение выполнения плана мероприятий отдела, Управления, Департамента в установленной сфере деятельности;</w:t>
            </w:r>
          </w:p>
          <w:p>
            <w:pPr>
              <w:pStyle w:val="Normal"/>
              <w:suppressAutoHyphens w:val="false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В организации труда:</w:t>
            </w:r>
          </w:p>
          <w:p>
            <w:pPr>
              <w:pStyle w:val="Normal"/>
              <w:suppressAutoHyphens w:val="false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- производительность (выполняемый объем работы);</w:t>
            </w:r>
          </w:p>
          <w:p>
            <w:pPr>
              <w:pStyle w:val="Normal"/>
              <w:suppressAutoHyphens w:val="false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- результативность (меры достижения поставленных целей);</w:t>
            </w:r>
          </w:p>
          <w:p>
            <w:pPr>
              <w:pStyle w:val="Normal"/>
              <w:suppressAutoHyphens w:val="false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- интенсивность (способность в короткие сроки выполнять определенный объем работы).</w:t>
            </w:r>
          </w:p>
          <w:p>
            <w:pPr>
              <w:pStyle w:val="Normal"/>
              <w:suppressAutoHyphens w:val="false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Профессионализм:</w:t>
            </w:r>
          </w:p>
          <w:p>
            <w:pPr>
              <w:pStyle w:val="Normal"/>
              <w:suppressAutoHyphens w:val="false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- профессиональная компетентность (знание законодательных, нормативных правовых актов, широта профессионального кругозора, умение работать с документами);</w:t>
            </w:r>
          </w:p>
          <w:p>
            <w:pPr>
              <w:pStyle w:val="Normal"/>
              <w:suppressAutoHyphens w:val="false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- способность выполнять должностные функции самостоятельно;</w:t>
            </w:r>
          </w:p>
          <w:p>
            <w:pPr>
              <w:pStyle w:val="Normal"/>
              <w:suppressAutoHyphens w:val="false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- способность четко организовывать и планировать выполнение порученных заданий, умение рационально использовать рабочее время, расставлять приоритеты.</w:t>
            </w:r>
          </w:p>
        </w:tc>
      </w:tr>
    </w:tbl>
    <w:p>
      <w:pPr>
        <w:pStyle w:val="Normal"/>
        <w:textAlignment w:val="baseline"/>
        <w:rPr>
          <w:rFonts w:ascii="Calibri" w:hAnsi="Calibri" w:cs="Segoe UI"/>
          <w:sz w:val="22"/>
          <w:szCs w:val="22"/>
          <w:lang w:eastAsia="ru-RU"/>
        </w:rPr>
      </w:pPr>
      <w:r>
        <w:rPr>
          <w:rFonts w:cs="Segoe UI" w:ascii="Calibri" w:hAnsi="Calibri"/>
          <w:sz w:val="22"/>
          <w:szCs w:val="22"/>
          <w:lang w:eastAsia="ru-RU"/>
        </w:rPr>
      </w:r>
    </w:p>
    <w:p>
      <w:pPr>
        <w:pStyle w:val="Normal"/>
        <w:textAlignment w:val="baseline"/>
        <w:rPr>
          <w:b/>
          <w:b/>
          <w:i/>
          <w:i/>
        </w:rPr>
      </w:pPr>
      <w:r>
        <w:rPr>
          <w:b/>
          <w:i/>
        </w:rPr>
        <w:t>Требования к знаниям и умениям (кратко):</w:t>
      </w:r>
    </w:p>
    <w:p>
      <w:pPr>
        <w:pStyle w:val="Normal"/>
        <w:textAlignment w:val="baseline"/>
        <w:rPr>
          <w:rFonts w:ascii="Calibri" w:hAnsi="Calibri" w:cs="Segoe UI"/>
          <w:lang w:eastAsia="ru-RU"/>
        </w:rPr>
      </w:pPr>
      <w:r>
        <w:rPr>
          <w:rFonts w:cs="Segoe UI" w:ascii="Calibri" w:hAnsi="Calibri"/>
          <w:lang w:eastAsia="ru-RU"/>
        </w:rPr>
      </w:r>
    </w:p>
    <w:tbl>
      <w:tblPr>
        <w:tblW w:w="10380" w:type="dxa"/>
        <w:jc w:val="left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2269"/>
        <w:gridCol w:w="8110"/>
      </w:tblGrid>
      <w:tr>
        <w:trPr>
          <w:trHeight w:val="507" w:hRule="atLeast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rFonts w:eastAsia="Calibri"/>
                <w:b/>
                <w:b/>
                <w:i/>
                <w:i/>
                <w:sz w:val="22"/>
                <w:szCs w:val="22"/>
              </w:rPr>
            </w:pPr>
            <w:r>
              <w:rPr>
                <w:rFonts w:eastAsia="Calibri"/>
                <w:b/>
                <w:sz w:val="22"/>
                <w:szCs w:val="22"/>
              </w:rPr>
              <w:t>Знания и умения</w:t>
            </w:r>
          </w:p>
        </w:tc>
        <w:tc>
          <w:tcPr>
            <w:tcW w:w="8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textAlignment w:val="baseline"/>
              <w:rPr>
                <w:rFonts w:eastAsia="Calibri"/>
                <w:b/>
                <w:b/>
                <w:sz w:val="22"/>
                <w:szCs w:val="22"/>
              </w:rPr>
            </w:pPr>
            <w:r>
              <w:rPr>
                <w:rFonts w:eastAsia="Calibri"/>
                <w:b/>
                <w:sz w:val="22"/>
                <w:szCs w:val="22"/>
              </w:rPr>
              <w:t>Требования</w:t>
            </w:r>
          </w:p>
        </w:tc>
      </w:tr>
      <w:tr>
        <w:trPr>
          <w:trHeight w:val="557" w:hRule="atLeast"/>
        </w:trPr>
        <w:tc>
          <w:tcPr>
            <w:tcW w:w="10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textAlignment w:val="baseline"/>
              <w:rPr>
                <w:rFonts w:eastAsia="Calibri"/>
                <w:b/>
                <w:b/>
                <w:i/>
                <w:i/>
                <w:sz w:val="22"/>
                <w:szCs w:val="22"/>
              </w:rPr>
            </w:pPr>
            <w:r>
              <w:rPr>
                <w:rFonts w:eastAsia="Calibri"/>
                <w:b/>
                <w:i/>
                <w:sz w:val="22"/>
                <w:szCs w:val="22"/>
              </w:rPr>
              <w:t>Базовые знания и умения:</w:t>
            </w:r>
          </w:p>
        </w:tc>
      </w:tr>
      <w:tr>
        <w:trPr>
          <w:trHeight w:val="225" w:hRule="atLeast"/>
        </w:trPr>
        <w:tc>
          <w:tcPr>
            <w:tcW w:w="10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textAlignment w:val="baseline"/>
              <w:rPr>
                <w:rFonts w:eastAsia="Calibri"/>
                <w:b/>
                <w:b/>
                <w:i/>
                <w:i/>
                <w:sz w:val="22"/>
                <w:szCs w:val="22"/>
              </w:rPr>
            </w:pPr>
            <w:r>
              <w:rPr>
                <w:b/>
                <w:i/>
                <w:color w:val="000000"/>
                <w:sz w:val="22"/>
                <w:szCs w:val="22"/>
              </w:rPr>
              <w:t>Знание государственного языка Российской Федерации (русского языка)</w:t>
            </w:r>
          </w:p>
        </w:tc>
      </w:tr>
      <w:tr>
        <w:trPr>
          <w:trHeight w:val="507" w:hRule="atLeast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rFonts w:eastAsia="Calibri"/>
                <w:b/>
                <w:b/>
                <w:i/>
                <w:i/>
                <w:sz w:val="22"/>
                <w:szCs w:val="22"/>
              </w:rPr>
            </w:pPr>
            <w:r>
              <w:rPr>
                <w:rFonts w:eastAsia="Calibri"/>
                <w:b/>
                <w:i/>
                <w:sz w:val="22"/>
                <w:szCs w:val="22"/>
              </w:rPr>
              <w:t>Знание правовых основ</w:t>
            </w:r>
          </w:p>
        </w:tc>
        <w:tc>
          <w:tcPr>
            <w:tcW w:w="8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textAlignment w:val="baseline"/>
              <w:rPr>
                <w:rFonts w:eastAsia="Calibri"/>
                <w:sz w:val="22"/>
                <w:szCs w:val="22"/>
                <w:u w:val="single"/>
              </w:rPr>
            </w:pPr>
            <w:r>
              <w:rPr>
                <w:rFonts w:eastAsia="Calibri"/>
                <w:sz w:val="22"/>
                <w:szCs w:val="22"/>
                <w:u w:val="single"/>
              </w:rPr>
              <w:t>Наличие знаний:</w:t>
            </w:r>
          </w:p>
          <w:p>
            <w:pPr>
              <w:pStyle w:val="Normal"/>
              <w:jc w:val="both"/>
              <w:textAlignment w:val="baseline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- конституционных прав и свобод гражданина Российской Федерации;</w:t>
            </w:r>
          </w:p>
          <w:p>
            <w:pPr>
              <w:pStyle w:val="Normal"/>
              <w:jc w:val="both"/>
              <w:textAlignment w:val="baseline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- правового положения (статуса) государственного гражданского служащего;</w:t>
            </w:r>
          </w:p>
          <w:p>
            <w:pPr>
              <w:pStyle w:val="Normal"/>
              <w:jc w:val="both"/>
              <w:textAlignment w:val="baseline"/>
              <w:rPr>
                <w:rFonts w:eastAsia="Calibri"/>
                <w:i/>
                <w:i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- понятия коррупции и основных принципов противодействия коррупции.</w:t>
            </w:r>
          </w:p>
        </w:tc>
      </w:tr>
      <w:tr>
        <w:trPr>
          <w:trHeight w:val="507" w:hRule="atLeast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rFonts w:eastAsia="Calibri"/>
                <w:b/>
                <w:b/>
                <w:i/>
                <w:i/>
                <w:sz w:val="22"/>
                <w:szCs w:val="22"/>
              </w:rPr>
            </w:pPr>
            <w:r>
              <w:rPr>
                <w:rFonts w:eastAsia="Calibri"/>
                <w:b/>
                <w:i/>
                <w:sz w:val="22"/>
                <w:szCs w:val="22"/>
              </w:rPr>
              <w:t xml:space="preserve">Знания и умения в области информационно-коммуникационных технологий </w:t>
            </w:r>
          </w:p>
          <w:p>
            <w:pPr>
              <w:pStyle w:val="Normal"/>
              <w:rPr>
                <w:rFonts w:eastAsia="Calibri"/>
                <w:b/>
                <w:b/>
                <w:i/>
                <w:i/>
                <w:sz w:val="22"/>
                <w:szCs w:val="22"/>
              </w:rPr>
            </w:pPr>
            <w:r>
              <w:rPr>
                <w:rFonts w:eastAsia="Calibri"/>
                <w:b/>
                <w:i/>
                <w:sz w:val="22"/>
                <w:szCs w:val="22"/>
              </w:rPr>
            </w:r>
          </w:p>
        </w:tc>
        <w:tc>
          <w:tcPr>
            <w:tcW w:w="8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numPr>
                <w:ilvl w:val="0"/>
                <w:numId w:val="0"/>
              </w:numPr>
              <w:jc w:val="both"/>
              <w:outlineLvl w:val="0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 xml:space="preserve">Наличие знаний: </w:t>
            </w:r>
          </w:p>
          <w:p>
            <w:pPr>
              <w:pStyle w:val="ListParagraph"/>
              <w:numPr>
                <w:ilvl w:val="0"/>
                <w:numId w:val="1"/>
              </w:numPr>
              <w:ind w:left="317" w:hanging="283"/>
              <w:jc w:val="both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форм и методов работы с применением автоматизированных средств управления; </w:t>
            </w:r>
          </w:p>
          <w:p>
            <w:pPr>
              <w:pStyle w:val="ListParagraph"/>
              <w:numPr>
                <w:ilvl w:val="0"/>
                <w:numId w:val="1"/>
              </w:numPr>
              <w:ind w:left="317" w:hanging="283"/>
              <w:jc w:val="both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правовых аспектов в сфере предоставления государственных услуг населению и организациям</w:t>
            </w:r>
            <w:r>
              <w:rPr>
                <w:color w:val="FF0000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посредством применения информационно-коммуникационных технологий;</w:t>
            </w:r>
          </w:p>
          <w:p>
            <w:pPr>
              <w:pStyle w:val="ListParagraph"/>
              <w:numPr>
                <w:ilvl w:val="0"/>
                <w:numId w:val="1"/>
              </w:numPr>
              <w:ind w:left="317" w:hanging="283"/>
              <w:jc w:val="both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электронного документооборота;</w:t>
            </w:r>
          </w:p>
          <w:p>
            <w:pPr>
              <w:pStyle w:val="ListParagraph"/>
              <w:numPr>
                <w:ilvl w:val="0"/>
                <w:numId w:val="1"/>
              </w:numPr>
              <w:ind w:left="317" w:hanging="283"/>
              <w:jc w:val="both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общих вопросов в области обеспечения информационной безопасности;</w:t>
            </w:r>
          </w:p>
          <w:p>
            <w:pPr>
              <w:pStyle w:val="ListParagraph"/>
              <w:numPr>
                <w:ilvl w:val="0"/>
                <w:numId w:val="1"/>
              </w:numPr>
              <w:ind w:left="317" w:hanging="283"/>
              <w:jc w:val="both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систем межведомственного взаимодействия;</w:t>
            </w:r>
          </w:p>
          <w:p>
            <w:pPr>
              <w:pStyle w:val="ListParagraph"/>
              <w:numPr>
                <w:ilvl w:val="0"/>
                <w:numId w:val="1"/>
              </w:numPr>
              <w:ind w:left="317" w:hanging="283"/>
              <w:jc w:val="both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информационно-аналитических систем, обеспечивающих сбор, обработку, хранение и анализ данных;</w:t>
            </w:r>
          </w:p>
          <w:p>
            <w:pPr>
              <w:pStyle w:val="ListParagraph"/>
              <w:numPr>
                <w:ilvl w:val="0"/>
                <w:numId w:val="1"/>
              </w:numPr>
              <w:ind w:left="317" w:hanging="283"/>
              <w:jc w:val="both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 соответствии с должностным регламентом.</w:t>
            </w:r>
          </w:p>
          <w:p>
            <w:pPr>
              <w:pStyle w:val="Normal"/>
              <w:tabs>
                <w:tab w:val="clear" w:pos="708"/>
                <w:tab w:val="left" w:pos="1134" w:leader="none"/>
              </w:tabs>
              <w:ind w:left="317" w:hanging="283"/>
              <w:jc w:val="both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</w:r>
          </w:p>
          <w:p>
            <w:pPr>
              <w:pStyle w:val="Normal"/>
              <w:tabs>
                <w:tab w:val="clear" w:pos="708"/>
                <w:tab w:val="left" w:pos="1134" w:leader="none"/>
              </w:tabs>
              <w:ind w:left="317" w:hanging="283"/>
              <w:jc w:val="both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 xml:space="preserve">Наличие умений: </w:t>
            </w:r>
          </w:p>
          <w:p>
            <w:pPr>
              <w:pStyle w:val="ListParagraph"/>
              <w:numPr>
                <w:ilvl w:val="0"/>
                <w:numId w:val="1"/>
              </w:numPr>
              <w:tabs>
                <w:tab w:val="clear" w:pos="708"/>
                <w:tab w:val="left" w:pos="0" w:leader="none"/>
              </w:tabs>
              <w:ind w:left="317" w:hanging="28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владения компьютерной, другой оргтехникой и необходимым программным обеспечением;</w:t>
            </w:r>
          </w:p>
          <w:p>
            <w:pPr>
              <w:pStyle w:val="ListParagraph"/>
              <w:numPr>
                <w:ilvl w:val="0"/>
                <w:numId w:val="1"/>
              </w:numPr>
              <w:tabs>
                <w:tab w:val="clear" w:pos="708"/>
                <w:tab w:val="left" w:pos="0" w:leader="none"/>
              </w:tabs>
              <w:ind w:left="317" w:hanging="28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стратегического планирования и управления групповой деятельностью с применением информационно-коммуникационных технологий;</w:t>
            </w:r>
          </w:p>
          <w:p>
            <w:pPr>
              <w:pStyle w:val="ListParagraph"/>
              <w:numPr>
                <w:ilvl w:val="0"/>
                <w:numId w:val="1"/>
              </w:numPr>
              <w:tabs>
                <w:tab w:val="clear" w:pos="708"/>
                <w:tab w:val="left" w:pos="0" w:leader="none"/>
              </w:tabs>
              <w:ind w:left="317" w:hanging="28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работы с системами межведомственного взаимодействия, управления государственными информационными ресурсами;</w:t>
            </w:r>
          </w:p>
          <w:p>
            <w:pPr>
              <w:pStyle w:val="ListParagraph"/>
              <w:numPr>
                <w:ilvl w:val="0"/>
                <w:numId w:val="1"/>
              </w:numPr>
              <w:tabs>
                <w:tab w:val="clear" w:pos="708"/>
                <w:tab w:val="left" w:pos="0" w:leader="none"/>
              </w:tabs>
              <w:ind w:left="317" w:hanging="28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 другими.</w:t>
            </w:r>
          </w:p>
        </w:tc>
      </w:tr>
      <w:tr>
        <w:trPr>
          <w:trHeight w:val="507" w:hRule="atLeast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rFonts w:eastAsia="Calibri"/>
                <w:b/>
                <w:b/>
                <w:i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Знания и умения в области проектного управления</w:t>
            </w:r>
          </w:p>
        </w:tc>
        <w:tc>
          <w:tcPr>
            <w:tcW w:w="8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numPr>
                <w:ilvl w:val="0"/>
                <w:numId w:val="0"/>
              </w:numPr>
              <w:jc w:val="both"/>
              <w:outlineLvl w:val="0"/>
              <w:rPr>
                <w:sz w:val="22"/>
                <w:szCs w:val="22"/>
              </w:rPr>
            </w:pPr>
            <w:r>
              <w:rPr/>
            </w:r>
          </w:p>
        </w:tc>
      </w:tr>
      <w:tr>
        <w:trPr>
          <w:trHeight w:val="507" w:hRule="atLeast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rFonts w:eastAsia="Calibri"/>
                <w:b/>
                <w:b/>
                <w:i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  <w:lang w:eastAsia="ru-RU"/>
              </w:rPr>
              <w:t>Знания основ делопроизводства и документооборота</w:t>
            </w:r>
          </w:p>
        </w:tc>
        <w:tc>
          <w:tcPr>
            <w:tcW w:w="8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Наличие знаний порядка рассмотрения обращений граждан, основ работы с документами.</w:t>
            </w:r>
          </w:p>
        </w:tc>
      </w:tr>
      <w:tr>
        <w:trPr>
          <w:trHeight w:val="507" w:hRule="atLeast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b/>
                <w:b/>
                <w:i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Общие и управленческие умения</w:t>
            </w:r>
          </w:p>
        </w:tc>
        <w:tc>
          <w:tcPr>
            <w:tcW w:w="8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/>
            </w:pPr>
            <w:r>
              <w:rPr>
                <w:sz w:val="22"/>
                <w:szCs w:val="22"/>
                <w:u w:val="single"/>
              </w:rPr>
              <w:t>Общие умения</w:t>
            </w:r>
            <w:r>
              <w:rPr>
                <w:sz w:val="22"/>
                <w:szCs w:val="22"/>
              </w:rPr>
              <w:t>:</w:t>
            </w:r>
          </w:p>
          <w:p>
            <w:pPr>
              <w:pStyle w:val="Normal"/>
              <w:jc w:val="both"/>
              <w:rPr>
                <w:sz w:val="22"/>
                <w:szCs w:val="22"/>
              </w:rPr>
            </w:pPr>
            <w:r>
              <w:rPr/>
            </w:r>
          </w:p>
          <w:p>
            <w:pPr>
              <w:pStyle w:val="Doc3"/>
              <w:numPr>
                <w:ilvl w:val="0"/>
                <w:numId w:val="0"/>
              </w:numPr>
              <w:tabs>
                <w:tab w:val="clear" w:pos="708"/>
                <w:tab w:val="left" w:pos="317" w:leader="none"/>
                <w:tab w:val="left" w:pos="993" w:leader="none"/>
              </w:tabs>
              <w:spacing w:lineRule="auto" w:line="240"/>
              <w:ind w:hanging="0"/>
              <w:rPr/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- умение мыслить стратегически (системно);</w:t>
            </w:r>
          </w:p>
          <w:p>
            <w:pPr>
              <w:pStyle w:val="Doc3"/>
              <w:numPr>
                <w:ilvl w:val="0"/>
                <w:numId w:val="0"/>
              </w:numPr>
              <w:tabs>
                <w:tab w:val="clear" w:pos="708"/>
                <w:tab w:val="left" w:pos="317" w:leader="none"/>
                <w:tab w:val="left" w:pos="993" w:leader="none"/>
              </w:tabs>
              <w:spacing w:lineRule="auto" w:line="240"/>
              <w:ind w:hanging="0"/>
              <w:jc w:val="both"/>
              <w:rPr/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- умение планировать, рационально использовать служебное время и достигать результата;</w:t>
            </w:r>
          </w:p>
          <w:p>
            <w:pPr>
              <w:pStyle w:val="Normal"/>
              <w:tabs>
                <w:tab w:val="clear" w:pos="708"/>
                <w:tab w:val="left" w:pos="0" w:leader="none"/>
              </w:tabs>
              <w:suppressAutoHyphens w:val="false"/>
              <w:spacing w:lineRule="auto" w:line="276"/>
              <w:ind w:hanging="0"/>
              <w:jc w:val="both"/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- коммуникативные умения;</w:t>
            </w:r>
          </w:p>
          <w:p>
            <w:pPr>
              <w:pStyle w:val="Normal"/>
              <w:tabs>
                <w:tab w:val="clear" w:pos="708"/>
                <w:tab w:val="left" w:pos="0" w:leader="none"/>
              </w:tabs>
              <w:suppressAutoHyphens w:val="false"/>
              <w:spacing w:lineRule="auto" w:line="276"/>
              <w:ind w:hanging="0"/>
              <w:jc w:val="both"/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- умение работать в стрессовых условиях;</w:t>
            </w:r>
          </w:p>
          <w:p>
            <w:pPr>
              <w:pStyle w:val="Normal"/>
              <w:tabs>
                <w:tab w:val="clear" w:pos="708"/>
                <w:tab w:val="left" w:pos="0" w:leader="none"/>
              </w:tabs>
              <w:suppressAutoHyphens w:val="false"/>
              <w:spacing w:lineRule="auto" w:line="276"/>
              <w:ind w:hanging="0"/>
              <w:jc w:val="both"/>
              <w:rPr/>
            </w:pPr>
            <w:r>
              <w:rPr>
                <w:rFonts w:eastAsia="Calibri"/>
                <w:sz w:val="22"/>
                <w:szCs w:val="22"/>
                <w:lang w:eastAsia="en-US"/>
              </w:rPr>
              <w:t>- умение совершенствовать свой профессиональный уровень</w:t>
            </w:r>
            <w:r>
              <w:rPr>
                <w:rFonts w:eastAsia="Calibri"/>
                <w:sz w:val="22"/>
                <w:szCs w:val="22"/>
                <w:lang w:val="en-US" w:eastAsia="en-US"/>
              </w:rPr>
              <w:t>;</w:t>
            </w:r>
          </w:p>
          <w:p>
            <w:pPr>
              <w:pStyle w:val="ListParagraph"/>
              <w:numPr>
                <w:ilvl w:val="0"/>
                <w:numId w:val="0"/>
              </w:numPr>
              <w:tabs>
                <w:tab w:val="clear" w:pos="708"/>
                <w:tab w:val="left" w:pos="317" w:leader="none"/>
                <w:tab w:val="left" w:pos="993" w:leader="none"/>
              </w:tabs>
              <w:suppressAutoHyphens w:val="false"/>
              <w:ind w:hanging="0"/>
              <w:rPr/>
            </w:pPr>
            <w:r>
              <w:rPr>
                <w:bCs/>
                <w:sz w:val="22"/>
                <w:szCs w:val="22"/>
              </w:rPr>
              <w:t xml:space="preserve">- умение </w:t>
            </w:r>
            <w:r>
              <w:rPr>
                <w:sz w:val="22"/>
                <w:szCs w:val="22"/>
              </w:rPr>
              <w:t>управлять изменениями.</w:t>
            </w:r>
          </w:p>
        </w:tc>
      </w:tr>
      <w:tr>
        <w:trPr>
          <w:trHeight w:val="507" w:hRule="atLeast"/>
        </w:trPr>
        <w:tc>
          <w:tcPr>
            <w:tcW w:w="10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ListParagraph"/>
              <w:suppressAutoHyphens w:val="false"/>
              <w:ind w:left="0" w:hanging="0"/>
              <w:rPr>
                <w:b/>
                <w:b/>
                <w:i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Профессионально-функциональные знания и умения:</w:t>
            </w:r>
          </w:p>
        </w:tc>
      </w:tr>
      <w:tr>
        <w:trPr>
          <w:trHeight w:val="507" w:hRule="atLeast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rFonts w:eastAsia="Calibri"/>
                <w:b/>
                <w:b/>
                <w:i/>
                <w:i/>
                <w:sz w:val="22"/>
                <w:szCs w:val="22"/>
              </w:rPr>
            </w:pPr>
            <w:r>
              <w:rPr>
                <w:rFonts w:eastAsia="Calibri"/>
                <w:b/>
                <w:i/>
                <w:sz w:val="22"/>
                <w:szCs w:val="22"/>
              </w:rPr>
              <w:t>П</w:t>
            </w:r>
            <w:r>
              <w:rPr>
                <w:b/>
                <w:bCs/>
                <w:i/>
                <w:sz w:val="22"/>
                <w:szCs w:val="22"/>
                <w:lang w:eastAsia="ru-RU"/>
              </w:rPr>
              <w:t>рофессиональные знания и умения</w:t>
            </w:r>
          </w:p>
        </w:tc>
        <w:tc>
          <w:tcPr>
            <w:tcW w:w="8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false"/>
              <w:jc w:val="both"/>
              <w:outlineLvl w:val="0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Наличие знаний:</w:t>
            </w:r>
          </w:p>
          <w:p>
            <w:pPr>
              <w:pStyle w:val="ListParagraph"/>
              <w:numPr>
                <w:ilvl w:val="0"/>
                <w:numId w:val="2"/>
              </w:numPr>
              <w:tabs>
                <w:tab w:val="clear" w:pos="708"/>
                <w:tab w:val="left" w:pos="312" w:leader="none"/>
              </w:tabs>
              <w:suppressAutoHyphens w:val="false"/>
              <w:ind w:left="0" w:hanging="0"/>
              <w:jc w:val="both"/>
              <w:outlineLvl w:val="0"/>
              <w:rPr>
                <w:rFonts w:eastAsia="Calibri"/>
                <w:sz w:val="22"/>
                <w:szCs w:val="22"/>
              </w:rPr>
            </w:pPr>
            <w:r>
              <w:rPr>
                <w:sz w:val="22"/>
                <w:szCs w:val="22"/>
              </w:rPr>
              <w:t>законодательства Российской Федерации и автономного округа в сфере обрабатывающей промышленности;</w:t>
            </w:r>
          </w:p>
          <w:p>
            <w:pPr>
              <w:pStyle w:val="ListParagraph"/>
              <w:numPr>
                <w:ilvl w:val="0"/>
                <w:numId w:val="2"/>
              </w:numPr>
              <w:tabs>
                <w:tab w:val="clear" w:pos="708"/>
                <w:tab w:val="left" w:pos="312" w:leader="none"/>
              </w:tabs>
              <w:suppressAutoHyphens w:val="false"/>
              <w:ind w:left="0" w:hanging="0"/>
              <w:jc w:val="both"/>
              <w:outlineLvl w:val="0"/>
              <w:rPr>
                <w:rFonts w:eastAsia="Calibri"/>
                <w:sz w:val="22"/>
                <w:szCs w:val="22"/>
              </w:rPr>
            </w:pPr>
            <w:r>
              <w:rPr/>
              <w:t>приоритетов государственной политики в области развития обрабатывающей промышленности;</w:t>
            </w:r>
          </w:p>
          <w:p>
            <w:pPr>
              <w:pStyle w:val="ListParagraph"/>
              <w:numPr>
                <w:ilvl w:val="0"/>
                <w:numId w:val="2"/>
              </w:numPr>
              <w:tabs>
                <w:tab w:val="clear" w:pos="708"/>
                <w:tab w:val="left" w:pos="312" w:leader="none"/>
              </w:tabs>
              <w:suppressAutoHyphens w:val="false"/>
              <w:ind w:left="0" w:hanging="0"/>
              <w:jc w:val="both"/>
              <w:outlineLvl w:val="0"/>
              <w:rPr>
                <w:rFonts w:eastAsia="Calibri"/>
                <w:sz w:val="22"/>
                <w:szCs w:val="22"/>
              </w:rPr>
            </w:pPr>
            <w:r>
              <w:rPr>
                <w:sz w:val="22"/>
                <w:szCs w:val="22"/>
              </w:rPr>
              <w:t>знание требований в сфере подготовки правовых и нормативных правовых актов автономного округа, регулирующих вопросы в установленной сфере деятельности.</w:t>
            </w:r>
          </w:p>
          <w:p>
            <w:pPr>
              <w:pStyle w:val="ListParagraph"/>
              <w:numPr>
                <w:ilvl w:val="0"/>
                <w:numId w:val="0"/>
              </w:numPr>
              <w:tabs>
                <w:tab w:val="clear" w:pos="708"/>
                <w:tab w:val="left" w:pos="312" w:leader="none"/>
              </w:tabs>
              <w:suppressAutoHyphens w:val="false"/>
              <w:ind w:left="0" w:hanging="0"/>
              <w:jc w:val="both"/>
              <w:outlineLvl w:val="0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</w:r>
          </w:p>
          <w:p>
            <w:pPr>
              <w:pStyle w:val="Normal"/>
              <w:suppressAutoHyphens w:val="false"/>
              <w:jc w:val="both"/>
              <w:rPr>
                <w:rFonts w:eastAsia="Calibri" w:eastAsiaTheme="minorHAnsi"/>
                <w:sz w:val="22"/>
                <w:szCs w:val="22"/>
                <w:u w:val="single"/>
                <w:lang w:eastAsia="en-US"/>
              </w:rPr>
            </w:pPr>
            <w:r>
              <w:rPr>
                <w:rFonts w:eastAsia="Calibri" w:eastAsiaTheme="minorHAnsi"/>
                <w:sz w:val="22"/>
                <w:szCs w:val="22"/>
                <w:u w:val="single"/>
                <w:lang w:eastAsia="en-US"/>
              </w:rPr>
              <w:t>Наличие умений: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0" w:leader="none"/>
                <w:tab w:val="left" w:pos="34" w:leader="none"/>
              </w:tabs>
              <w:spacing w:before="0" w:after="0"/>
              <w:ind w:hanging="0"/>
              <w:jc w:val="both"/>
              <w:textAlignment w:val="baseline"/>
              <w:rPr>
                <w:sz w:val="22"/>
                <w:szCs w:val="22"/>
              </w:rPr>
            </w:pPr>
            <w:r>
              <w:rPr>
                <w:rFonts w:eastAsia="Cambria"/>
                <w:sz w:val="22"/>
                <w:szCs w:val="22"/>
                <w:lang w:eastAsia="ru-RU"/>
              </w:rPr>
              <w:t>- организация личного труда, в том числе, планирования служебного времени;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0" w:leader="none"/>
                <w:tab w:val="left" w:pos="34" w:leader="none"/>
              </w:tabs>
              <w:spacing w:before="0" w:after="0"/>
              <w:ind w:hanging="0"/>
              <w:jc w:val="both"/>
              <w:textAlignment w:val="baseline"/>
              <w:rPr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- свободное владение, использование словарного запаса русского языка, необходимого для осуществления профессиональной служебной деятельности;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0" w:leader="none"/>
                <w:tab w:val="left" w:pos="34" w:leader="none"/>
              </w:tabs>
              <w:spacing w:before="0" w:after="0"/>
              <w:ind w:hanging="0"/>
              <w:jc w:val="both"/>
              <w:textAlignment w:val="baseline"/>
              <w:rPr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- использование при подготовке документов делового стиля письма, правильного употребления грамматических и лексических средств русского языка;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0" w:leader="none"/>
                <w:tab w:val="left" w:pos="34" w:leader="none"/>
              </w:tabs>
              <w:spacing w:before="0" w:after="0"/>
              <w:ind w:hanging="0"/>
              <w:jc w:val="both"/>
              <w:textAlignment w:val="baseline"/>
              <w:rPr>
                <w:sz w:val="22"/>
                <w:szCs w:val="22"/>
              </w:rPr>
            </w:pPr>
            <w:r>
              <w:rPr>
                <w:rFonts w:eastAsia="Cambria"/>
                <w:sz w:val="22"/>
                <w:szCs w:val="22"/>
                <w:lang w:eastAsia="ru-RU"/>
              </w:rPr>
              <w:t>- владение современными средствами и методами работы с информацией;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0" w:leader="none"/>
                <w:tab w:val="left" w:pos="34" w:leader="none"/>
              </w:tabs>
              <w:spacing w:before="0" w:after="0"/>
              <w:ind w:hanging="0"/>
              <w:jc w:val="both"/>
              <w:textAlignment w:val="baseline"/>
              <w:rPr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- работа с информационно-телекоммуникационными сетями, в том числе сетью Интернет;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0" w:leader="none"/>
                <w:tab w:val="left" w:pos="34" w:leader="none"/>
              </w:tabs>
              <w:spacing w:before="0" w:after="0"/>
              <w:ind w:hanging="0"/>
              <w:jc w:val="both"/>
              <w:textAlignment w:val="baseline"/>
              <w:rPr>
                <w:sz w:val="22"/>
                <w:szCs w:val="22"/>
              </w:rPr>
            </w:pPr>
            <w:r>
              <w:rPr>
                <w:rFonts w:eastAsia="Cambria"/>
                <w:sz w:val="22"/>
                <w:szCs w:val="22"/>
                <w:lang w:eastAsia="ru-RU"/>
              </w:rPr>
              <w:t>- использование справочно-правовых систем;</w:t>
              <w:tab/>
            </w:r>
          </w:p>
          <w:p>
            <w:pPr>
              <w:pStyle w:val="Normal"/>
              <w:widowControl w:val="false"/>
              <w:tabs>
                <w:tab w:val="clear" w:pos="708"/>
                <w:tab w:val="left" w:pos="0" w:leader="none"/>
                <w:tab w:val="left" w:pos="34" w:leader="none"/>
              </w:tabs>
              <w:spacing w:before="0" w:after="0"/>
              <w:ind w:hanging="0"/>
              <w:jc w:val="both"/>
              <w:textAlignment w:val="baseline"/>
              <w:rPr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- работа в операционной системе, управление электронной почтой, в текстовом редакторе, с электронными таблицами, необходимыми базами данных, подготовки презентаций, использования графических объектов в электронных документах;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0" w:leader="none"/>
                <w:tab w:val="left" w:pos="34" w:leader="none"/>
              </w:tabs>
              <w:spacing w:before="0" w:after="0"/>
              <w:ind w:hanging="0"/>
              <w:jc w:val="both"/>
              <w:textAlignment w:val="baseline"/>
              <w:rPr>
                <w:sz w:val="22"/>
                <w:szCs w:val="22"/>
              </w:rPr>
            </w:pPr>
            <w:r>
              <w:rPr>
                <w:rFonts w:eastAsia="Cambria"/>
                <w:sz w:val="22"/>
                <w:szCs w:val="22"/>
                <w:lang w:eastAsia="ru-RU"/>
              </w:rPr>
              <w:t>- работа с внутренними и периферийными устройствами компьютера (принтер, сканер, многофункциональное устройство и т.д.);</w:t>
            </w:r>
          </w:p>
          <w:p>
            <w:pPr>
              <w:pStyle w:val="Normal"/>
              <w:widowControl w:val="false"/>
              <w:spacing w:before="0" w:after="0"/>
              <w:ind w:hang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практического применения нормативных правовых актов Российской Федерации и автономного округа в установленной сфере деятельности; </w:t>
            </w:r>
          </w:p>
          <w:p>
            <w:pPr>
              <w:pStyle w:val="Normal"/>
              <w:widowControl w:val="false"/>
              <w:spacing w:before="0" w:after="0"/>
              <w:ind w:hang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подготовки проектов актов нормативного и ненормативного характера, в установленной сфере деятельности и их практического применения;</w:t>
            </w:r>
          </w:p>
          <w:p>
            <w:pPr>
              <w:pStyle w:val="Normal"/>
              <w:widowControl w:val="false"/>
              <w:spacing w:before="0" w:after="0"/>
              <w:ind w:hang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системного анализа действующего законодательства и правоприменительной практики в установленной сфере деятельности;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0" w:leader="none"/>
                <w:tab w:val="left" w:pos="34" w:leader="none"/>
              </w:tabs>
              <w:spacing w:before="0" w:after="0"/>
              <w:ind w:hanging="0"/>
              <w:jc w:val="both"/>
              <w:textAlignment w:val="baseline"/>
              <w:rPr>
                <w:sz w:val="22"/>
                <w:szCs w:val="22"/>
              </w:rPr>
            </w:pPr>
            <w:r>
              <w:rPr>
                <w:rFonts w:eastAsia="Cambria"/>
                <w:sz w:val="22"/>
                <w:szCs w:val="22"/>
                <w:lang w:eastAsia="ru-RU"/>
              </w:rPr>
              <w:t>- подготовка служебных писем, включая ответы на обращения государственных органов, граждан и организаций в установленные сроки;</w:t>
            </w:r>
          </w:p>
          <w:p>
            <w:pPr>
              <w:pStyle w:val="Normal"/>
              <w:widowControl w:val="false"/>
              <w:spacing w:before="0" w:after="0"/>
              <w:ind w:hang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работа в автоматизированных системах;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0" w:leader="none"/>
                <w:tab w:val="left" w:pos="34" w:leader="none"/>
              </w:tabs>
              <w:suppressAutoHyphens w:val="false"/>
              <w:spacing w:lineRule="auto" w:line="276" w:before="0" w:after="0"/>
              <w:ind w:hanging="0"/>
              <w:jc w:val="both"/>
              <w:textAlignment w:val="baseline"/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-</w:t>
            </w:r>
            <w:r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eastAsia="en-US"/>
              </w:rPr>
              <w:t>использования опыта и мнения коллег.</w:t>
            </w:r>
          </w:p>
        </w:tc>
      </w:tr>
      <w:tr>
        <w:trPr>
          <w:trHeight w:val="505" w:hRule="atLeast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rFonts w:eastAsia="Calibri"/>
                <w:b/>
                <w:b/>
                <w:i/>
                <w:i/>
                <w:sz w:val="22"/>
                <w:szCs w:val="22"/>
              </w:rPr>
            </w:pPr>
            <w:r>
              <w:rPr>
                <w:rFonts w:eastAsia="Calibri"/>
                <w:b/>
                <w:i/>
                <w:sz w:val="22"/>
                <w:szCs w:val="22"/>
              </w:rPr>
              <w:t>Функциональные знания и умения</w:t>
            </w:r>
          </w:p>
        </w:tc>
        <w:tc>
          <w:tcPr>
            <w:tcW w:w="8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uppressAutoHyphens w:val="false"/>
              <w:spacing w:lineRule="auto" w:line="240"/>
              <w:jc w:val="both"/>
              <w:rPr/>
            </w:pPr>
            <w:r>
              <w:rPr>
                <w:rFonts w:eastAsia="Calibri" w:eastAsiaTheme="minorHAnsi"/>
                <w:sz w:val="22"/>
                <w:szCs w:val="22"/>
                <w:u w:val="single"/>
                <w:lang w:eastAsia="en-US"/>
              </w:rPr>
              <w:t xml:space="preserve">Функциональные знания: </w:t>
            </w:r>
          </w:p>
          <w:p>
            <w:pPr>
              <w:pStyle w:val="Normal"/>
              <w:suppressAutoHyphens w:val="false"/>
              <w:spacing w:lineRule="auto" w:line="240"/>
              <w:jc w:val="both"/>
              <w:rPr>
                <w:rFonts w:eastAsia="Calibri" w:eastAsiaTheme="minorHAnsi"/>
                <w:sz w:val="22"/>
                <w:szCs w:val="22"/>
                <w:u w:val="single"/>
                <w:lang w:eastAsia="en-US"/>
              </w:rPr>
            </w:pPr>
            <w:r>
              <w:rPr>
                <w:rFonts w:eastAsia="Calibri" w:eastAsiaTheme="minorHAnsi"/>
                <w:sz w:val="22"/>
                <w:szCs w:val="22"/>
                <w:u w:val="single"/>
                <w:lang w:eastAsia="en-US"/>
              </w:rPr>
            </w:r>
          </w:p>
          <w:p>
            <w:pPr>
              <w:pStyle w:val="NoSpacing"/>
              <w:spacing w:lineRule="auto" w:line="240"/>
              <w:jc w:val="both"/>
              <w:rPr/>
            </w:pPr>
            <w:r>
              <w:rPr>
                <w:rFonts w:eastAsia="Calibri"/>
                <w:lang w:eastAsia="en-US"/>
              </w:rPr>
              <w:t xml:space="preserve">- понятие нормы права, </w:t>
            </w:r>
            <w:r>
              <w:rPr>
                <w:rFonts w:eastAsia="Calibri"/>
                <w:lang w:eastAsia="en-US"/>
              </w:rPr>
              <w:t>нормативного правового акта, правоотношений</w:t>
            </w:r>
            <w:r>
              <w:rPr>
                <w:rFonts w:eastAsia="Calibri"/>
                <w:lang w:eastAsia="en-US"/>
              </w:rPr>
              <w:t xml:space="preserve"> и </w:t>
            </w:r>
            <w:r>
              <w:rPr>
                <w:rFonts w:eastAsia="Calibri"/>
                <w:lang w:eastAsia="en-US"/>
              </w:rPr>
              <w:t>их</w:t>
            </w:r>
            <w:r>
              <w:rPr>
                <w:rFonts w:eastAsia="Calibri"/>
                <w:lang w:eastAsia="en-US"/>
              </w:rPr>
              <w:t xml:space="preserve"> признаки;</w:t>
            </w:r>
          </w:p>
          <w:p>
            <w:pPr>
              <w:pStyle w:val="NoSpacing"/>
              <w:spacing w:lineRule="auto" w:line="240"/>
              <w:jc w:val="both"/>
              <w:rPr/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- понятие проекта нормативного правового акта, </w:t>
            </w:r>
            <w:r>
              <w:rPr>
                <w:rFonts w:eastAsia="Calibri"/>
                <w:sz w:val="22"/>
                <w:szCs w:val="22"/>
                <w:lang w:eastAsia="en-US"/>
              </w:rPr>
              <w:t>инструменты и этапы его разработки</w:t>
            </w:r>
            <w:r>
              <w:rPr>
                <w:rFonts w:eastAsia="Calibri"/>
                <w:sz w:val="22"/>
                <w:szCs w:val="22"/>
                <w:lang w:eastAsia="en-US"/>
              </w:rPr>
              <w:t>;</w:t>
            </w:r>
          </w:p>
          <w:p>
            <w:pPr>
              <w:pStyle w:val="NoSpacing"/>
              <w:spacing w:lineRule="auto" w:line="24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- понятие официального отзыва на проекты нормативно-правовых актов: этапы, ключевые принципы и технологии разработки; </w:t>
            </w:r>
          </w:p>
          <w:p>
            <w:pPr>
              <w:pStyle w:val="NoSpacing"/>
              <w:spacing w:lineRule="auto" w:line="24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- понятие, процедура рассмотрения обращений граждан;</w:t>
            </w:r>
          </w:p>
          <w:p>
            <w:pPr>
              <w:pStyle w:val="NoSpacing"/>
              <w:spacing w:lineRule="auto" w:line="24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- принципы, методы, технологии и механизмы осуществления контроля (надзора);</w:t>
            </w:r>
          </w:p>
          <w:p>
            <w:pPr>
              <w:pStyle w:val="NoSpacing"/>
              <w:spacing w:lineRule="auto" w:line="24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- процедура организации проверки: порядок, этапы, инструменты проведения.</w:t>
            </w:r>
          </w:p>
          <w:p>
            <w:pPr>
              <w:pStyle w:val="NoSpacing"/>
              <w:spacing w:lineRule="auto" w:line="24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- принципы и методы реализации государственной промышленной политики;</w:t>
            </w:r>
          </w:p>
          <w:p>
            <w:pPr>
              <w:pStyle w:val="NoSpacing"/>
              <w:spacing w:lineRule="auto" w:line="240"/>
              <w:jc w:val="both"/>
              <w:rPr/>
            </w:pPr>
            <w:r>
              <w:rPr>
                <w:rFonts w:eastAsia="Calibri"/>
                <w:sz w:val="22"/>
                <w:szCs w:val="22"/>
                <w:lang w:eastAsia="en-US"/>
              </w:rPr>
              <w:t>- принципы формирования и оценки эффективности деятельности в сфере развития обрабатывающей промышленности.</w:t>
            </w:r>
          </w:p>
          <w:p>
            <w:pPr>
              <w:pStyle w:val="NoSpacing"/>
              <w:spacing w:lineRule="auto" w:line="24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</w:r>
          </w:p>
          <w:p>
            <w:pPr>
              <w:pStyle w:val="Normal"/>
              <w:tabs>
                <w:tab w:val="clear" w:pos="708"/>
                <w:tab w:val="left" w:pos="33" w:leader="none"/>
              </w:tabs>
              <w:spacing w:lineRule="auto" w:line="240"/>
              <w:ind w:left="33" w:hanging="0"/>
              <w:jc w:val="both"/>
              <w:rPr/>
            </w:pPr>
            <w:r>
              <w:rPr>
                <w:rFonts w:eastAsia="Calibri" w:eastAsiaTheme="minorHAnsi"/>
                <w:sz w:val="22"/>
                <w:szCs w:val="22"/>
                <w:u w:val="single"/>
                <w:lang w:eastAsia="en-US"/>
              </w:rPr>
              <w:t>Функциональные умения</w:t>
            </w:r>
            <w:r>
              <w:rPr>
                <w:rFonts w:eastAsia="Calibri" w:eastAsiaTheme="minorHAnsi"/>
                <w:sz w:val="22"/>
                <w:szCs w:val="22"/>
                <w:lang w:eastAsia="en-US"/>
              </w:rPr>
              <w:t xml:space="preserve">: </w:t>
            </w:r>
          </w:p>
          <w:p>
            <w:pPr>
              <w:pStyle w:val="Normal"/>
              <w:spacing w:lineRule="auto" w:line="240" w:before="0" w:after="0"/>
              <w:ind w:hanging="0"/>
              <w:jc w:val="both"/>
              <w:rPr/>
            </w:pPr>
            <w:r>
              <w:rPr>
                <w:sz w:val="22"/>
                <w:szCs w:val="22"/>
              </w:rPr>
              <w:t>- разработка, рассмотрение и согласование проектов нормативных правовых актов автономного округа и других документов по направлению деятельности отдела;</w:t>
            </w:r>
          </w:p>
          <w:p>
            <w:pPr>
              <w:pStyle w:val="Normal"/>
              <w:suppressAutoHyphens w:val="false"/>
              <w:spacing w:lineRule="auto" w:line="240" w:before="0" w:after="0"/>
              <w:ind w:hanging="0"/>
              <w:jc w:val="both"/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- практического применения правовых и нормативных правовых актов Российской Федерации и автономного округа в установленной сфере деятельности;</w:t>
            </w:r>
          </w:p>
          <w:p>
            <w:pPr>
              <w:pStyle w:val="Normal"/>
              <w:spacing w:lineRule="auto" w:line="240" w:before="0" w:after="0"/>
              <w:ind w:hang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подготовка проектов решений Департамента по вопросам, относящимся к компетенции отдела;</w:t>
            </w:r>
          </w:p>
          <w:p>
            <w:pPr>
              <w:pStyle w:val="Normal"/>
              <w:spacing w:lineRule="auto" w:line="240" w:before="0" w:after="0"/>
              <w:ind w:hang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подготовка предложений по выработке управленческих решений в сфере, соответствующей направлению деятельности отдела;</w:t>
            </w:r>
          </w:p>
          <w:p>
            <w:pPr>
              <w:pStyle w:val="Normal"/>
              <w:spacing w:lineRule="auto" w:line="240" w:before="0" w:after="0"/>
              <w:ind w:hang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подготовка методических рекомендаций, разъяснений;</w:t>
            </w:r>
          </w:p>
          <w:p>
            <w:pPr>
              <w:pStyle w:val="Normal"/>
              <w:spacing w:lineRule="auto" w:line="240" w:before="0" w:after="0"/>
              <w:ind w:hang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подготовка аналитических, информационных и других материалов;</w:t>
            </w:r>
          </w:p>
          <w:p>
            <w:pPr>
              <w:pStyle w:val="Normal"/>
              <w:tabs>
                <w:tab w:val="clear" w:pos="708"/>
                <w:tab w:val="left" w:pos="33" w:leader="none"/>
              </w:tabs>
              <w:spacing w:lineRule="auto" w:line="240" w:before="0" w:after="0"/>
              <w:ind w:hanging="0"/>
              <w:jc w:val="both"/>
              <w:rPr/>
            </w:pPr>
            <w:r>
              <w:rPr>
                <w:rFonts w:eastAsia="Calibri" w:eastAsiaTheme="minorHAnsi"/>
                <w:sz w:val="22"/>
                <w:szCs w:val="22"/>
                <w:lang w:eastAsia="en-US"/>
              </w:rPr>
              <w:t>- консультационная помощь физическим и юридическим лицам по вопросам, отнесенным к компетенции отдела.</w:t>
            </w:r>
          </w:p>
        </w:tc>
      </w:tr>
      <w:tr>
        <w:trPr>
          <w:trHeight w:val="505" w:hRule="atLeast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right="-427" w:hanging="0"/>
              <w:rPr>
                <w:b/>
                <w:b/>
                <w:i/>
                <w:i/>
                <w:color w:val="000000"/>
                <w:sz w:val="22"/>
                <w:szCs w:val="22"/>
                <w:highlight w:val="white"/>
              </w:rPr>
            </w:pPr>
            <w:r>
              <w:rPr>
                <w:b/>
                <w:i/>
                <w:color w:val="000000"/>
                <w:sz w:val="22"/>
                <w:szCs w:val="22"/>
                <w:shd w:fill="FFFFFF" w:val="clear"/>
              </w:rPr>
              <w:t>Профессиональные качества</w:t>
            </w:r>
          </w:p>
          <w:p>
            <w:pPr>
              <w:pStyle w:val="Normal"/>
              <w:rPr>
                <w:rFonts w:eastAsia="Calibri"/>
                <w:b/>
                <w:b/>
                <w:i/>
                <w:i/>
                <w:sz w:val="22"/>
                <w:szCs w:val="22"/>
              </w:rPr>
            </w:pPr>
            <w:r>
              <w:rPr>
                <w:rFonts w:eastAsia="Calibri"/>
                <w:b/>
                <w:i/>
                <w:sz w:val="22"/>
                <w:szCs w:val="22"/>
              </w:rPr>
            </w:r>
          </w:p>
        </w:tc>
        <w:tc>
          <w:tcPr>
            <w:tcW w:w="8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ListParagraph"/>
              <w:tabs>
                <w:tab w:val="clear" w:pos="708"/>
                <w:tab w:val="left" w:pos="33" w:leader="none"/>
              </w:tabs>
              <w:suppressAutoHyphens w:val="false"/>
              <w:ind w:left="33" w:hanging="0"/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- ориентация на достижение результата; </w:t>
            </w:r>
          </w:p>
          <w:p>
            <w:pPr>
              <w:pStyle w:val="ListParagraph"/>
              <w:tabs>
                <w:tab w:val="clear" w:pos="708"/>
                <w:tab w:val="left" w:pos="33" w:leader="none"/>
              </w:tabs>
              <w:suppressAutoHyphens w:val="false"/>
              <w:ind w:left="33" w:hanging="0"/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- межличностное понимание, стиль общения, соответствующий ситуации; </w:t>
            </w:r>
          </w:p>
          <w:p>
            <w:pPr>
              <w:pStyle w:val="ListParagraph"/>
              <w:tabs>
                <w:tab w:val="clear" w:pos="708"/>
                <w:tab w:val="left" w:pos="33" w:leader="none"/>
              </w:tabs>
              <w:suppressAutoHyphens w:val="false"/>
              <w:ind w:left="33" w:hanging="0"/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- сбор и анализ информации; </w:t>
            </w:r>
          </w:p>
          <w:p>
            <w:pPr>
              <w:pStyle w:val="ListParagraph"/>
              <w:tabs>
                <w:tab w:val="clear" w:pos="708"/>
                <w:tab w:val="left" w:pos="33" w:leader="none"/>
              </w:tabs>
              <w:suppressAutoHyphens w:val="false"/>
              <w:ind w:left="33" w:hanging="0"/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- подготовка документов в соответствии с требованиями; </w:t>
            </w:r>
          </w:p>
          <w:p>
            <w:pPr>
              <w:pStyle w:val="ListParagraph"/>
              <w:tabs>
                <w:tab w:val="clear" w:pos="708"/>
                <w:tab w:val="left" w:pos="33" w:leader="none"/>
              </w:tabs>
              <w:suppressAutoHyphens w:val="false"/>
              <w:ind w:left="33" w:hanging="0"/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- саморазвитие; </w:t>
            </w:r>
          </w:p>
          <w:p>
            <w:pPr>
              <w:pStyle w:val="ListParagraph"/>
              <w:tabs>
                <w:tab w:val="clear" w:pos="708"/>
                <w:tab w:val="left" w:pos="33" w:leader="none"/>
              </w:tabs>
              <w:suppressAutoHyphens w:val="false"/>
              <w:ind w:left="33" w:hanging="0"/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- межличностное, межведомственное взаимодействие, убедительность коммуникаций; </w:t>
            </w:r>
          </w:p>
          <w:p>
            <w:pPr>
              <w:pStyle w:val="ListParagraph"/>
              <w:tabs>
                <w:tab w:val="clear" w:pos="708"/>
                <w:tab w:val="left" w:pos="33" w:leader="none"/>
              </w:tabs>
              <w:suppressAutoHyphens w:val="false"/>
              <w:ind w:left="33" w:hanging="0"/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- работа в команде; </w:t>
            </w:r>
          </w:p>
          <w:p>
            <w:pPr>
              <w:pStyle w:val="ListParagraph"/>
              <w:tabs>
                <w:tab w:val="clear" w:pos="708"/>
                <w:tab w:val="left" w:pos="33" w:leader="none"/>
              </w:tabs>
              <w:suppressAutoHyphens w:val="false"/>
              <w:ind w:left="33" w:hanging="0"/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- стратегическое видение/мышление;</w:t>
            </w:r>
          </w:p>
          <w:p>
            <w:pPr>
              <w:pStyle w:val="ListParagraph"/>
              <w:tabs>
                <w:tab w:val="clear" w:pos="708"/>
                <w:tab w:val="left" w:pos="33" w:leader="none"/>
              </w:tabs>
              <w:suppressAutoHyphens w:val="false"/>
              <w:ind w:left="33" w:hanging="0"/>
              <w:jc w:val="both"/>
              <w:rPr/>
            </w:pPr>
            <w:r>
              <w:rPr>
                <w:rFonts w:eastAsia="Calibri"/>
                <w:sz w:val="22"/>
                <w:szCs w:val="22"/>
              </w:rPr>
              <w:t>- творческий подход, инновационность</w:t>
            </w:r>
            <w:r>
              <w:rPr>
                <w:rFonts w:eastAsia="Calibri"/>
                <w:sz w:val="22"/>
                <w:szCs w:val="22"/>
                <w:u w:val="single"/>
              </w:rPr>
              <w:t>.</w:t>
            </w:r>
          </w:p>
        </w:tc>
      </w:tr>
      <w:tr>
        <w:trPr>
          <w:trHeight w:val="1412" w:hRule="atLeast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right="37" w:hanging="0"/>
              <w:jc w:val="both"/>
              <w:rPr>
                <w:b/>
                <w:b/>
                <w:i/>
                <w:i/>
                <w:color w:val="000000"/>
                <w:sz w:val="22"/>
                <w:szCs w:val="22"/>
                <w:highlight w:val="white"/>
              </w:rPr>
            </w:pPr>
            <w:r>
              <w:rPr>
                <w:b/>
                <w:i/>
                <w:sz w:val="22"/>
                <w:szCs w:val="22"/>
                <w:lang w:eastAsia="ru-RU"/>
              </w:rPr>
              <w:t xml:space="preserve">Личностные качества </w:t>
            </w:r>
          </w:p>
        </w:tc>
        <w:tc>
          <w:tcPr>
            <w:tcW w:w="8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аналитическое мышление, беспристрастность, внимательность к деталям, гражданственность (общественное служение), добросовестность, законопослушность, исполнительность, коммуникабельность, обучаемость, организованность, ответственность, дисциплинированность, самостоятельность, открытость новым знаниям, порядочность, пунктуальность, системный подход, стрессоустойчивость, тактичность, толерантность, целеустремленность, эмоциональная уравновешенность,  эрудиция.</w:t>
            </w:r>
          </w:p>
        </w:tc>
      </w:tr>
    </w:tbl>
    <w:p>
      <w:pPr>
        <w:pStyle w:val="Normal"/>
        <w:rPr/>
      </w:pPr>
      <w:r>
        <w:rPr/>
      </w:r>
    </w:p>
    <w:sectPr>
      <w:headerReference w:type="default" r:id="rId3"/>
      <w:headerReference w:type="first" r:id="rId4"/>
      <w:footerReference w:type="default" r:id="rId5"/>
      <w:type w:val="nextPage"/>
      <w:pgSz w:w="11906" w:h="16838"/>
      <w:pgMar w:left="1559" w:right="1276" w:header="720" w:top="777" w:footer="720" w:bottom="851" w:gutter="0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01"/>
    <w:family w:val="roman"/>
    <w:pitch w:val="default"/>
  </w:font>
  <w:font w:name="Times New Roman">
    <w:charset w:val="01"/>
    <w:family w:val="roman"/>
    <w:pitch w:val="default"/>
  </w:font>
  <w:font w:name="Tahoma">
    <w:charset w:val="01"/>
    <w:family w:val="roman"/>
    <w:pitch w:val="default"/>
  </w:font>
  <w:font w:name="Segoe UI">
    <w:charset w:val="01"/>
    <w:family w:val="roman"/>
    <w:pitch w:val="default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5"/>
      <w:jc w:val="right"/>
      <w:rPr/>
    </w:pPr>
    <w:r>
      <w:rPr/>
    </w:r>
  </w:p>
  <w:p>
    <w:pPr>
      <w:pStyle w:val="Style25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4"/>
      <w:rPr/>
    </w:pPr>
    <w:r>
      <w:rPr/>
    </w:r>
  </w:p>
  <w:p>
    <w:pPr>
      <w:pStyle w:val="Style24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sdt>
    <w:sdtPr>
      <w:docPartObj>
        <w:docPartGallery w:val="Page Numbers (Top of Page)"/>
        <w:docPartUnique w:val="true"/>
      </w:docPartObj>
      <w:id w:val="931243407"/>
    </w:sdtPr>
    <w:sdtContent>
      <w:p>
        <w:pPr>
          <w:pStyle w:val="Style24"/>
          <w:jc w:val="center"/>
          <w:rPr/>
        </w:pPr>
        <w:r>
          <w:rPr/>
          <w:fldChar w:fldCharType="begin"/>
        </w:r>
        <w:r>
          <w:rPr/>
          <w:instrText> PAGE </w:instrText>
        </w:r>
        <w:r>
          <w:rPr/>
          <w:fldChar w:fldCharType="separate"/>
        </w:r>
        <w:r>
          <w:rPr/>
          <w:t>1</w:t>
        </w:r>
        <w:r>
          <w:rPr/>
          <w:fldChar w:fldCharType="end"/>
        </w:r>
      </w:p>
    </w:sdtContent>
  </w:sdt>
  <w:p>
    <w:pPr>
      <w:pStyle w:val="Style24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sz w:val="22"/>
        <w:rFonts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  <w:rFonts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  <w:rFonts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  <w:rFonts w:cs="Wingdings"/>
      </w:rPr>
    </w:lvl>
  </w:abstractNum>
  <w:abstractNum w:abstractNumId="2"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sz w:val="22"/>
        <w:rFonts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  <w:rFonts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  <w:rFonts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  <w:rFonts w:cs="Wingdings"/>
      </w:rPr>
    </w:lvl>
  </w:abstractNum>
  <w:abstractNum w:abstractNumId="3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fals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4e4dff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zh-CN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Текст выноски Знак"/>
    <w:basedOn w:val="DefaultParagraphFont"/>
    <w:link w:val="a4"/>
    <w:uiPriority w:val="99"/>
    <w:semiHidden/>
    <w:qFormat/>
    <w:rsid w:val="00d265bb"/>
    <w:rPr>
      <w:rFonts w:ascii="Tahoma" w:hAnsi="Tahoma" w:cs="Tahoma"/>
      <w:sz w:val="16"/>
      <w:szCs w:val="16"/>
    </w:rPr>
  </w:style>
  <w:style w:type="character" w:styleId="11" w:customStyle="1">
    <w:name w:val="Основной текст (11)_"/>
    <w:qFormat/>
    <w:rsid w:val="004e4dff"/>
    <w:rPr>
      <w:sz w:val="25"/>
      <w:szCs w:val="25"/>
      <w:lang w:bidi="ar-SA"/>
    </w:rPr>
  </w:style>
  <w:style w:type="character" w:styleId="Style15" w:customStyle="1">
    <w:name w:val="Верхний колонтитул Знак"/>
    <w:basedOn w:val="DefaultParagraphFont"/>
    <w:link w:val="a6"/>
    <w:uiPriority w:val="99"/>
    <w:qFormat/>
    <w:rsid w:val="00b87723"/>
    <w:rPr>
      <w:rFonts w:ascii="Times New Roman" w:hAnsi="Times New Roman" w:eastAsia="Times New Roman" w:cs="Times New Roman"/>
      <w:sz w:val="24"/>
      <w:szCs w:val="24"/>
      <w:lang w:eastAsia="zh-CN"/>
    </w:rPr>
  </w:style>
  <w:style w:type="character" w:styleId="Style16" w:customStyle="1">
    <w:name w:val="Нижний колонтитул Знак"/>
    <w:basedOn w:val="DefaultParagraphFont"/>
    <w:link w:val="a8"/>
    <w:uiPriority w:val="99"/>
    <w:qFormat/>
    <w:rsid w:val="00b87723"/>
    <w:rPr>
      <w:rFonts w:ascii="Times New Roman" w:hAnsi="Times New Roman" w:eastAsia="Times New Roman" w:cs="Times New Roman"/>
      <w:sz w:val="24"/>
      <w:szCs w:val="24"/>
      <w:lang w:eastAsia="zh-CN"/>
    </w:rPr>
  </w:style>
  <w:style w:type="character" w:styleId="Appleconvertedspace" w:customStyle="1">
    <w:name w:val="apple-converted-space"/>
    <w:basedOn w:val="DefaultParagraphFont"/>
    <w:qFormat/>
    <w:rsid w:val="00d161b3"/>
    <w:rPr>
      <w:rFonts w:cs="Times New Roman"/>
    </w:rPr>
  </w:style>
  <w:style w:type="character" w:styleId="Blk1" w:customStyle="1">
    <w:name w:val="blk1"/>
    <w:basedOn w:val="DefaultParagraphFont"/>
    <w:qFormat/>
    <w:rsid w:val="00d31ab8"/>
    <w:rPr>
      <w:vanish w:val="false"/>
    </w:rPr>
  </w:style>
  <w:style w:type="character" w:styleId="Style17" w:customStyle="1">
    <w:name w:val="Абзац списка Знак"/>
    <w:link w:val="aa"/>
    <w:uiPriority w:val="34"/>
    <w:qFormat/>
    <w:locked/>
    <w:rsid w:val="00892779"/>
    <w:rPr>
      <w:rFonts w:ascii="Times New Roman" w:hAnsi="Times New Roman" w:eastAsia="Times New Roman" w:cs="Times New Roman"/>
      <w:sz w:val="24"/>
      <w:szCs w:val="24"/>
      <w:lang w:eastAsia="zh-CN"/>
    </w:rPr>
  </w:style>
  <w:style w:type="character" w:styleId="Doc" w:customStyle="1">
    <w:name w:val="Doc-Т внутри нумерации Знак"/>
    <w:link w:val="Doc-2"/>
    <w:uiPriority w:val="99"/>
    <w:qFormat/>
    <w:locked/>
    <w:rsid w:val="003767f6"/>
    <w:rPr/>
  </w:style>
  <w:style w:type="character" w:styleId="ListLabel1">
    <w:name w:val="ListLabel 1"/>
    <w:qFormat/>
    <w:rPr>
      <w:rFonts w:cs="Courier New"/>
    </w:rPr>
  </w:style>
  <w:style w:type="character" w:styleId="ListLabel2">
    <w:name w:val="ListLabel 2"/>
    <w:qFormat/>
    <w:rPr>
      <w:rFonts w:cs="Courier New"/>
    </w:rPr>
  </w:style>
  <w:style w:type="character" w:styleId="ListLabel3">
    <w:name w:val="ListLabel 3"/>
    <w:qFormat/>
    <w:rPr>
      <w:rFonts w:cs="Courier New"/>
    </w:rPr>
  </w:style>
  <w:style w:type="character" w:styleId="ListLabel4">
    <w:name w:val="ListLabel 4"/>
    <w:qFormat/>
    <w:rPr>
      <w:rFonts w:cs="Courier New"/>
    </w:rPr>
  </w:style>
  <w:style w:type="character" w:styleId="ListLabel5">
    <w:name w:val="ListLabel 5"/>
    <w:qFormat/>
    <w:rPr>
      <w:rFonts w:cs="Courier New"/>
    </w:rPr>
  </w:style>
  <w:style w:type="character" w:styleId="ListLabel6">
    <w:name w:val="ListLabel 6"/>
    <w:qFormat/>
    <w:rPr>
      <w:rFonts w:cs="Courier New"/>
    </w:rPr>
  </w:style>
  <w:style w:type="character" w:styleId="ListLabel7">
    <w:name w:val="ListLabel 7"/>
    <w:qFormat/>
    <w:rPr>
      <w:rFonts w:cs="Courier New"/>
    </w:rPr>
  </w:style>
  <w:style w:type="character" w:styleId="ListLabel8">
    <w:name w:val="ListLabel 8"/>
    <w:qFormat/>
    <w:rPr>
      <w:rFonts w:cs="Courier New"/>
    </w:rPr>
  </w:style>
  <w:style w:type="character" w:styleId="ListLabel9">
    <w:name w:val="ListLabel 9"/>
    <w:qFormat/>
    <w:rPr>
      <w:rFonts w:cs="Courier New"/>
    </w:rPr>
  </w:style>
  <w:style w:type="character" w:styleId="ListLabel10">
    <w:name w:val="ListLabel 10"/>
    <w:qFormat/>
    <w:rPr>
      <w:rFonts w:cs="Courier New"/>
    </w:rPr>
  </w:style>
  <w:style w:type="character" w:styleId="ListLabel11">
    <w:name w:val="ListLabel 11"/>
    <w:qFormat/>
    <w:rPr>
      <w:rFonts w:cs="Courier New"/>
    </w:rPr>
  </w:style>
  <w:style w:type="character" w:styleId="ListLabel12">
    <w:name w:val="ListLabel 12"/>
    <w:qFormat/>
    <w:rPr>
      <w:rFonts w:cs="Courier New"/>
    </w:rPr>
  </w:style>
  <w:style w:type="character" w:styleId="ListLabel13">
    <w:name w:val="ListLabel 13"/>
    <w:qFormat/>
    <w:rPr>
      <w:rFonts w:cs="Courier New"/>
    </w:rPr>
  </w:style>
  <w:style w:type="character" w:styleId="ListLabel14">
    <w:name w:val="ListLabel 14"/>
    <w:qFormat/>
    <w:rPr>
      <w:rFonts w:cs="Courier New"/>
    </w:rPr>
  </w:style>
  <w:style w:type="character" w:styleId="ListLabel15">
    <w:name w:val="ListLabel 15"/>
    <w:qFormat/>
    <w:rPr>
      <w:rFonts w:cs="Courier New"/>
    </w:rPr>
  </w:style>
  <w:style w:type="character" w:styleId="ListLabel16">
    <w:name w:val="ListLabel 16"/>
    <w:qFormat/>
    <w:rPr>
      <w:rFonts w:cs="Courier New"/>
    </w:rPr>
  </w:style>
  <w:style w:type="character" w:styleId="ListLabel17">
    <w:name w:val="ListLabel 17"/>
    <w:qFormat/>
    <w:rPr>
      <w:rFonts w:cs="Courier New"/>
    </w:rPr>
  </w:style>
  <w:style w:type="character" w:styleId="ListLabel18">
    <w:name w:val="ListLabel 18"/>
    <w:qFormat/>
    <w:rPr>
      <w:rFonts w:cs="Courier New"/>
    </w:rPr>
  </w:style>
  <w:style w:type="character" w:styleId="ListLabel19">
    <w:name w:val="ListLabel 19"/>
    <w:qFormat/>
    <w:rPr>
      <w:rFonts w:cs="Courier New"/>
    </w:rPr>
  </w:style>
  <w:style w:type="character" w:styleId="ListLabel20">
    <w:name w:val="ListLabel 20"/>
    <w:qFormat/>
    <w:rPr>
      <w:rFonts w:cs="Courier New"/>
    </w:rPr>
  </w:style>
  <w:style w:type="character" w:styleId="ListLabel21">
    <w:name w:val="ListLabel 21"/>
    <w:qFormat/>
    <w:rPr>
      <w:rFonts w:cs="Courier New"/>
    </w:rPr>
  </w:style>
  <w:style w:type="character" w:styleId="ListLabel22">
    <w:name w:val="ListLabel 22"/>
    <w:qFormat/>
    <w:rPr>
      <w:rFonts w:cs="Courier New"/>
    </w:rPr>
  </w:style>
  <w:style w:type="character" w:styleId="ListLabel23">
    <w:name w:val="ListLabel 23"/>
    <w:qFormat/>
    <w:rPr>
      <w:rFonts w:cs="Courier New"/>
    </w:rPr>
  </w:style>
  <w:style w:type="character" w:styleId="ListLabel24">
    <w:name w:val="ListLabel 24"/>
    <w:qFormat/>
    <w:rPr>
      <w:rFonts w:cs="Courier New"/>
    </w:rPr>
  </w:style>
  <w:style w:type="character" w:styleId="ListLabel25">
    <w:name w:val="ListLabel 25"/>
    <w:qFormat/>
    <w:rPr>
      <w:rFonts w:cs="Courier New"/>
    </w:rPr>
  </w:style>
  <w:style w:type="character" w:styleId="ListLabel26">
    <w:name w:val="ListLabel 26"/>
    <w:qFormat/>
    <w:rPr>
      <w:rFonts w:cs="Courier New"/>
    </w:rPr>
  </w:style>
  <w:style w:type="character" w:styleId="ListLabel27">
    <w:name w:val="ListLabel 27"/>
    <w:qFormat/>
    <w:rPr>
      <w:rFonts w:cs="Courier New"/>
    </w:rPr>
  </w:style>
  <w:style w:type="character" w:styleId="ListLabel28">
    <w:name w:val="ListLabel 28"/>
    <w:qFormat/>
    <w:rPr>
      <w:rFonts w:cs="Courier New"/>
    </w:rPr>
  </w:style>
  <w:style w:type="character" w:styleId="ListLabel29">
    <w:name w:val="ListLabel 29"/>
    <w:qFormat/>
    <w:rPr>
      <w:rFonts w:cs="Courier New"/>
    </w:rPr>
  </w:style>
  <w:style w:type="character" w:styleId="ListLabel30">
    <w:name w:val="ListLabel 30"/>
    <w:qFormat/>
    <w:rPr>
      <w:rFonts w:cs="Courier New"/>
    </w:rPr>
  </w:style>
  <w:style w:type="character" w:styleId="ListLabel31">
    <w:name w:val="ListLabel 31"/>
    <w:qFormat/>
    <w:rPr>
      <w:rFonts w:cs="Courier New"/>
    </w:rPr>
  </w:style>
  <w:style w:type="character" w:styleId="ListLabel32">
    <w:name w:val="ListLabel 32"/>
    <w:qFormat/>
    <w:rPr>
      <w:rFonts w:cs="Courier New"/>
    </w:rPr>
  </w:style>
  <w:style w:type="character" w:styleId="ListLabel33">
    <w:name w:val="ListLabel 33"/>
    <w:qFormat/>
    <w:rPr>
      <w:rFonts w:cs="Courier New"/>
    </w:rPr>
  </w:style>
  <w:style w:type="character" w:styleId="ListLabel34">
    <w:name w:val="ListLabel 34"/>
    <w:qFormat/>
    <w:rPr>
      <w:rFonts w:cs="Courier New"/>
    </w:rPr>
  </w:style>
  <w:style w:type="character" w:styleId="ListLabel35">
    <w:name w:val="ListLabel 35"/>
    <w:qFormat/>
    <w:rPr>
      <w:rFonts w:cs="Courier New"/>
    </w:rPr>
  </w:style>
  <w:style w:type="character" w:styleId="ListLabel36">
    <w:name w:val="ListLabel 36"/>
    <w:qFormat/>
    <w:rPr>
      <w:rFonts w:cs="Courier New"/>
    </w:rPr>
  </w:style>
  <w:style w:type="character" w:styleId="ListLabel37">
    <w:name w:val="ListLabel 37"/>
    <w:qFormat/>
    <w:rPr>
      <w:rFonts w:cs="Courier New"/>
    </w:rPr>
  </w:style>
  <w:style w:type="character" w:styleId="ListLabel38">
    <w:name w:val="ListLabel 38"/>
    <w:qFormat/>
    <w:rPr>
      <w:rFonts w:cs="Courier New"/>
    </w:rPr>
  </w:style>
  <w:style w:type="character" w:styleId="ListLabel39">
    <w:name w:val="ListLabel 39"/>
    <w:qFormat/>
    <w:rPr>
      <w:rFonts w:cs="Courier New"/>
    </w:rPr>
  </w:style>
  <w:style w:type="character" w:styleId="ListLabel40">
    <w:name w:val="ListLabel 40"/>
    <w:qFormat/>
    <w:rPr>
      <w:rFonts w:cs="Courier New"/>
    </w:rPr>
  </w:style>
  <w:style w:type="character" w:styleId="ListLabel41">
    <w:name w:val="ListLabel 41"/>
    <w:qFormat/>
    <w:rPr>
      <w:rFonts w:cs="Courier New"/>
    </w:rPr>
  </w:style>
  <w:style w:type="character" w:styleId="ListLabel42">
    <w:name w:val="ListLabel 42"/>
    <w:qFormat/>
    <w:rPr>
      <w:rFonts w:cs="Courier New"/>
    </w:rPr>
  </w:style>
  <w:style w:type="character" w:styleId="ListLabel43">
    <w:name w:val="ListLabel 43"/>
    <w:qFormat/>
    <w:rPr>
      <w:rFonts w:cs="Courier New"/>
    </w:rPr>
  </w:style>
  <w:style w:type="character" w:styleId="ListLabel44">
    <w:name w:val="ListLabel 44"/>
    <w:qFormat/>
    <w:rPr>
      <w:rFonts w:cs="Courier New"/>
    </w:rPr>
  </w:style>
  <w:style w:type="character" w:styleId="ListLabel45">
    <w:name w:val="ListLabel 45"/>
    <w:qFormat/>
    <w:rPr>
      <w:rFonts w:cs="Courier New"/>
    </w:rPr>
  </w:style>
  <w:style w:type="character" w:styleId="ListLabel46">
    <w:name w:val="ListLabel 46"/>
    <w:qFormat/>
    <w:rPr>
      <w:rFonts w:cs="Courier New"/>
    </w:rPr>
  </w:style>
  <w:style w:type="character" w:styleId="ListLabel47">
    <w:name w:val="ListLabel 47"/>
    <w:qFormat/>
    <w:rPr>
      <w:rFonts w:cs="Courier New"/>
    </w:rPr>
  </w:style>
  <w:style w:type="character" w:styleId="ListLabel48">
    <w:name w:val="ListLabel 48"/>
    <w:qFormat/>
    <w:rPr>
      <w:rFonts w:cs="Courier New"/>
    </w:rPr>
  </w:style>
  <w:style w:type="character" w:styleId="ListLabel49">
    <w:name w:val="ListLabel 49"/>
    <w:qFormat/>
    <w:rPr>
      <w:rFonts w:cs="Courier New"/>
    </w:rPr>
  </w:style>
  <w:style w:type="character" w:styleId="ListLabel50">
    <w:name w:val="ListLabel 50"/>
    <w:qFormat/>
    <w:rPr>
      <w:rFonts w:cs="Courier New"/>
    </w:rPr>
  </w:style>
  <w:style w:type="character" w:styleId="ListLabel51">
    <w:name w:val="ListLabel 51"/>
    <w:qFormat/>
    <w:rPr>
      <w:rFonts w:cs="Courier New"/>
    </w:rPr>
  </w:style>
  <w:style w:type="character" w:styleId="ListLabel52">
    <w:name w:val="ListLabel 52"/>
    <w:qFormat/>
    <w:rPr>
      <w:rFonts w:cs="Courier New"/>
    </w:rPr>
  </w:style>
  <w:style w:type="character" w:styleId="ListLabel53">
    <w:name w:val="ListLabel 53"/>
    <w:qFormat/>
    <w:rPr>
      <w:rFonts w:cs="Courier New"/>
    </w:rPr>
  </w:style>
  <w:style w:type="character" w:styleId="ListLabel54">
    <w:name w:val="ListLabel 54"/>
    <w:qFormat/>
    <w:rPr>
      <w:rFonts w:cs="Courier New"/>
    </w:rPr>
  </w:style>
  <w:style w:type="character" w:styleId="ListLabel55">
    <w:name w:val="ListLabel 55"/>
    <w:qFormat/>
    <w:rPr>
      <w:rFonts w:cs="Courier New"/>
    </w:rPr>
  </w:style>
  <w:style w:type="character" w:styleId="ListLabel56">
    <w:name w:val="ListLabel 56"/>
    <w:qFormat/>
    <w:rPr>
      <w:rFonts w:cs="Courier New"/>
    </w:rPr>
  </w:style>
  <w:style w:type="character" w:styleId="ListLabel57">
    <w:name w:val="ListLabel 57"/>
    <w:qFormat/>
    <w:rPr>
      <w:rFonts w:cs="Courier New"/>
    </w:rPr>
  </w:style>
  <w:style w:type="character" w:styleId="ListLabel58">
    <w:name w:val="ListLabel 58"/>
    <w:qFormat/>
    <w:rPr>
      <w:rFonts w:cs="Courier New"/>
    </w:rPr>
  </w:style>
  <w:style w:type="character" w:styleId="ListLabel59">
    <w:name w:val="ListLabel 59"/>
    <w:qFormat/>
    <w:rPr>
      <w:rFonts w:cs="Courier New"/>
    </w:rPr>
  </w:style>
  <w:style w:type="character" w:styleId="ListLabel60">
    <w:name w:val="ListLabel 60"/>
    <w:qFormat/>
    <w:rPr>
      <w:rFonts w:cs="Courier New"/>
    </w:rPr>
  </w:style>
  <w:style w:type="character" w:styleId="ListLabel61">
    <w:name w:val="ListLabel 61"/>
    <w:qFormat/>
    <w:rPr>
      <w:rFonts w:cs="Courier New"/>
    </w:rPr>
  </w:style>
  <w:style w:type="character" w:styleId="ListLabel62">
    <w:name w:val="ListLabel 62"/>
    <w:qFormat/>
    <w:rPr>
      <w:rFonts w:cs="Courier New"/>
    </w:rPr>
  </w:style>
  <w:style w:type="character" w:styleId="ListLabel63">
    <w:name w:val="ListLabel 63"/>
    <w:qFormat/>
    <w:rPr>
      <w:rFonts w:cs="Courier New"/>
    </w:rPr>
  </w:style>
  <w:style w:type="character" w:styleId="ListLabel64">
    <w:name w:val="ListLabel 64"/>
    <w:qFormat/>
    <w:rPr>
      <w:rFonts w:cs="Courier New"/>
    </w:rPr>
  </w:style>
  <w:style w:type="character" w:styleId="ListLabel65">
    <w:name w:val="ListLabel 65"/>
    <w:qFormat/>
    <w:rPr>
      <w:rFonts w:cs="Courier New"/>
    </w:rPr>
  </w:style>
  <w:style w:type="character" w:styleId="ListLabel66">
    <w:name w:val="ListLabel 66"/>
    <w:qFormat/>
    <w:rPr>
      <w:rFonts w:cs="Courier New"/>
    </w:rPr>
  </w:style>
  <w:style w:type="character" w:styleId="ListLabel67">
    <w:name w:val="ListLabel 67"/>
    <w:qFormat/>
    <w:rPr>
      <w:rFonts w:cs="Courier New"/>
    </w:rPr>
  </w:style>
  <w:style w:type="character" w:styleId="ListLabel68">
    <w:name w:val="ListLabel 68"/>
    <w:qFormat/>
    <w:rPr>
      <w:rFonts w:cs="Courier New"/>
    </w:rPr>
  </w:style>
  <w:style w:type="character" w:styleId="ListLabel69">
    <w:name w:val="ListLabel 69"/>
    <w:qFormat/>
    <w:rPr>
      <w:rFonts w:cs="Courier New"/>
    </w:rPr>
  </w:style>
  <w:style w:type="character" w:styleId="ListLabel70">
    <w:name w:val="ListLabel 70"/>
    <w:qFormat/>
    <w:rPr>
      <w:rFonts w:cs="Courier New"/>
    </w:rPr>
  </w:style>
  <w:style w:type="character" w:styleId="ListLabel71">
    <w:name w:val="ListLabel 71"/>
    <w:qFormat/>
    <w:rPr>
      <w:rFonts w:cs="Courier New"/>
    </w:rPr>
  </w:style>
  <w:style w:type="character" w:styleId="ListLabel72">
    <w:name w:val="ListLabel 72"/>
    <w:qFormat/>
    <w:rPr>
      <w:rFonts w:cs="Courier New"/>
    </w:rPr>
  </w:style>
  <w:style w:type="character" w:styleId="ListLabel73">
    <w:name w:val="ListLabel 73"/>
    <w:qFormat/>
    <w:rPr>
      <w:sz w:val="22"/>
    </w:rPr>
  </w:style>
  <w:style w:type="character" w:styleId="ListLabel74">
    <w:name w:val="ListLabel 74"/>
    <w:qFormat/>
    <w:rPr>
      <w:rFonts w:cs="Courier New"/>
    </w:rPr>
  </w:style>
  <w:style w:type="character" w:styleId="ListLabel75">
    <w:name w:val="ListLabel 75"/>
    <w:qFormat/>
    <w:rPr>
      <w:rFonts w:cs="Courier New"/>
    </w:rPr>
  </w:style>
  <w:style w:type="character" w:styleId="ListLabel76">
    <w:name w:val="ListLabel 76"/>
    <w:qFormat/>
    <w:rPr>
      <w:rFonts w:cs="Courier New"/>
    </w:rPr>
  </w:style>
  <w:style w:type="character" w:styleId="ListLabel77">
    <w:name w:val="ListLabel 77"/>
    <w:qFormat/>
    <w:rPr>
      <w:rFonts w:cs="Courier New"/>
    </w:rPr>
  </w:style>
  <w:style w:type="character" w:styleId="ListLabel78">
    <w:name w:val="ListLabel 78"/>
    <w:qFormat/>
    <w:rPr>
      <w:rFonts w:cs="Courier New"/>
    </w:rPr>
  </w:style>
  <w:style w:type="character" w:styleId="ListLabel79">
    <w:name w:val="ListLabel 79"/>
    <w:qFormat/>
    <w:rPr>
      <w:rFonts w:cs="Courier New"/>
    </w:rPr>
  </w:style>
  <w:style w:type="character" w:styleId="ListLabel80">
    <w:name w:val="ListLabel 80"/>
    <w:qFormat/>
    <w:rPr>
      <w:rFonts w:cs="Courier New"/>
    </w:rPr>
  </w:style>
  <w:style w:type="character" w:styleId="ListLabel81">
    <w:name w:val="ListLabel 81"/>
    <w:qFormat/>
    <w:rPr>
      <w:rFonts w:cs="Courier New"/>
    </w:rPr>
  </w:style>
  <w:style w:type="character" w:styleId="ListLabel82">
    <w:name w:val="ListLabel 82"/>
    <w:qFormat/>
    <w:rPr>
      <w:rFonts w:cs="Courier New"/>
    </w:rPr>
  </w:style>
  <w:style w:type="character" w:styleId="ListLabel83">
    <w:name w:val="ListLabel 83"/>
    <w:qFormat/>
    <w:rPr>
      <w:rFonts w:cs="Courier New"/>
    </w:rPr>
  </w:style>
  <w:style w:type="character" w:styleId="ListLabel84">
    <w:name w:val="ListLabel 84"/>
    <w:qFormat/>
    <w:rPr>
      <w:rFonts w:cs="Courier New"/>
    </w:rPr>
  </w:style>
  <w:style w:type="character" w:styleId="ListLabel85">
    <w:name w:val="ListLabel 85"/>
    <w:qFormat/>
    <w:rPr>
      <w:rFonts w:cs="Courier New"/>
    </w:rPr>
  </w:style>
  <w:style w:type="character" w:styleId="ListLabel86">
    <w:name w:val="ListLabel 86"/>
    <w:qFormat/>
    <w:rPr>
      <w:rFonts w:cs="Courier New"/>
    </w:rPr>
  </w:style>
  <w:style w:type="character" w:styleId="ListLabel87">
    <w:name w:val="ListLabel 87"/>
    <w:qFormat/>
    <w:rPr>
      <w:rFonts w:cs="Courier New"/>
    </w:rPr>
  </w:style>
  <w:style w:type="character" w:styleId="ListLabel88">
    <w:name w:val="ListLabel 88"/>
    <w:qFormat/>
    <w:rPr>
      <w:rFonts w:cs="Courier New"/>
    </w:rPr>
  </w:style>
  <w:style w:type="character" w:styleId="ListLabel89">
    <w:name w:val="ListLabel 89"/>
    <w:qFormat/>
    <w:rPr>
      <w:rFonts w:cs="Courier New"/>
    </w:rPr>
  </w:style>
  <w:style w:type="character" w:styleId="ListLabel90">
    <w:name w:val="ListLabel 90"/>
    <w:qFormat/>
    <w:rPr>
      <w:rFonts w:cs="Courier New"/>
    </w:rPr>
  </w:style>
  <w:style w:type="character" w:styleId="ListLabel91">
    <w:name w:val="ListLabel 91"/>
    <w:qFormat/>
    <w:rPr>
      <w:rFonts w:cs="Courier New"/>
    </w:rPr>
  </w:style>
  <w:style w:type="character" w:styleId="ListLabel92">
    <w:name w:val="ListLabel 92"/>
    <w:qFormat/>
    <w:rPr>
      <w:rFonts w:cs="Courier New"/>
    </w:rPr>
  </w:style>
  <w:style w:type="character" w:styleId="ListLabel93">
    <w:name w:val="ListLabel 93"/>
    <w:qFormat/>
    <w:rPr>
      <w:rFonts w:cs="Courier New"/>
    </w:rPr>
  </w:style>
  <w:style w:type="character" w:styleId="ListLabel94">
    <w:name w:val="ListLabel 94"/>
    <w:qFormat/>
    <w:rPr>
      <w:rFonts w:cs="Courier New"/>
    </w:rPr>
  </w:style>
  <w:style w:type="character" w:styleId="ListLabel95">
    <w:name w:val="ListLabel 95"/>
    <w:qFormat/>
    <w:rPr>
      <w:rFonts w:cs="Courier New"/>
    </w:rPr>
  </w:style>
  <w:style w:type="character" w:styleId="ListLabel96">
    <w:name w:val="ListLabel 96"/>
    <w:qFormat/>
    <w:rPr>
      <w:rFonts w:cs="Courier New"/>
    </w:rPr>
  </w:style>
  <w:style w:type="character" w:styleId="ListLabel97">
    <w:name w:val="ListLabel 97"/>
    <w:qFormat/>
    <w:rPr>
      <w:rFonts w:cs="Courier New"/>
    </w:rPr>
  </w:style>
  <w:style w:type="character" w:styleId="ListLabel98">
    <w:name w:val="ListLabel 98"/>
    <w:qFormat/>
    <w:rPr>
      <w:rFonts w:cs="Courier New"/>
    </w:rPr>
  </w:style>
  <w:style w:type="character" w:styleId="ListLabel99">
    <w:name w:val="ListLabel 99"/>
    <w:qFormat/>
    <w:rPr>
      <w:rFonts w:cs="Courier New"/>
    </w:rPr>
  </w:style>
  <w:style w:type="character" w:styleId="ListLabel100">
    <w:name w:val="ListLabel 100"/>
    <w:qFormat/>
    <w:rPr>
      <w:rFonts w:cs="Courier New"/>
    </w:rPr>
  </w:style>
  <w:style w:type="character" w:styleId="ListLabel101">
    <w:name w:val="ListLabel 101"/>
    <w:qFormat/>
    <w:rPr>
      <w:rFonts w:cs="Courier New"/>
    </w:rPr>
  </w:style>
  <w:style w:type="character" w:styleId="ListLabel102">
    <w:name w:val="ListLabel 102"/>
    <w:qFormat/>
    <w:rPr>
      <w:rFonts w:cs="Courier New"/>
    </w:rPr>
  </w:style>
  <w:style w:type="character" w:styleId="ListLabel103">
    <w:name w:val="ListLabel 103"/>
    <w:qFormat/>
    <w:rPr>
      <w:rFonts w:cs="Courier New"/>
    </w:rPr>
  </w:style>
  <w:style w:type="character" w:styleId="ListLabel104">
    <w:name w:val="ListLabel 104"/>
    <w:qFormat/>
    <w:rPr>
      <w:rFonts w:eastAsia="Calibri"/>
      <w:sz w:val="22"/>
      <w:szCs w:val="22"/>
      <w:lang w:eastAsia="en-US"/>
    </w:rPr>
  </w:style>
  <w:style w:type="character" w:styleId="Style18">
    <w:name w:val="Интернет-ссылка"/>
    <w:rPr>
      <w:color w:val="000080"/>
      <w:u w:val="single"/>
      <w:lang w:val="zxx" w:eastAsia="zxx" w:bidi="zxx"/>
    </w:rPr>
  </w:style>
  <w:style w:type="character" w:styleId="ListLabel105">
    <w:name w:val="ListLabel 105"/>
    <w:qFormat/>
    <w:rPr>
      <w:rFonts w:cs="Symbol"/>
      <w:sz w:val="22"/>
    </w:rPr>
  </w:style>
  <w:style w:type="character" w:styleId="ListLabel106">
    <w:name w:val="ListLabel 106"/>
    <w:qFormat/>
    <w:rPr>
      <w:rFonts w:cs="Courier New"/>
    </w:rPr>
  </w:style>
  <w:style w:type="character" w:styleId="ListLabel107">
    <w:name w:val="ListLabel 107"/>
    <w:qFormat/>
    <w:rPr>
      <w:rFonts w:cs="Wingdings"/>
    </w:rPr>
  </w:style>
  <w:style w:type="character" w:styleId="ListLabel108">
    <w:name w:val="ListLabel 108"/>
    <w:qFormat/>
    <w:rPr>
      <w:rFonts w:cs="Symbol"/>
    </w:rPr>
  </w:style>
  <w:style w:type="character" w:styleId="ListLabel109">
    <w:name w:val="ListLabel 109"/>
    <w:qFormat/>
    <w:rPr>
      <w:rFonts w:cs="Courier New"/>
    </w:rPr>
  </w:style>
  <w:style w:type="character" w:styleId="ListLabel110">
    <w:name w:val="ListLabel 110"/>
    <w:qFormat/>
    <w:rPr>
      <w:rFonts w:cs="Wingdings"/>
    </w:rPr>
  </w:style>
  <w:style w:type="character" w:styleId="ListLabel111">
    <w:name w:val="ListLabel 111"/>
    <w:qFormat/>
    <w:rPr>
      <w:rFonts w:cs="Symbol"/>
    </w:rPr>
  </w:style>
  <w:style w:type="character" w:styleId="ListLabel112">
    <w:name w:val="ListLabel 112"/>
    <w:qFormat/>
    <w:rPr>
      <w:rFonts w:cs="Courier New"/>
    </w:rPr>
  </w:style>
  <w:style w:type="character" w:styleId="ListLabel113">
    <w:name w:val="ListLabel 113"/>
    <w:qFormat/>
    <w:rPr>
      <w:rFonts w:cs="Wingdings"/>
    </w:rPr>
  </w:style>
  <w:style w:type="character" w:styleId="ListLabel114">
    <w:name w:val="ListLabel 114"/>
    <w:qFormat/>
    <w:rPr>
      <w:rFonts w:cs="Symbol"/>
    </w:rPr>
  </w:style>
  <w:style w:type="character" w:styleId="ListLabel115">
    <w:name w:val="ListLabel 115"/>
    <w:qFormat/>
    <w:rPr>
      <w:rFonts w:cs="Courier New"/>
    </w:rPr>
  </w:style>
  <w:style w:type="character" w:styleId="ListLabel116">
    <w:name w:val="ListLabel 116"/>
    <w:qFormat/>
    <w:rPr>
      <w:rFonts w:cs="Wingdings"/>
    </w:rPr>
  </w:style>
  <w:style w:type="character" w:styleId="ListLabel117">
    <w:name w:val="ListLabel 117"/>
    <w:qFormat/>
    <w:rPr>
      <w:rFonts w:cs="Symbol"/>
    </w:rPr>
  </w:style>
  <w:style w:type="character" w:styleId="ListLabel118">
    <w:name w:val="ListLabel 118"/>
    <w:qFormat/>
    <w:rPr>
      <w:rFonts w:cs="Courier New"/>
    </w:rPr>
  </w:style>
  <w:style w:type="character" w:styleId="ListLabel119">
    <w:name w:val="ListLabel 119"/>
    <w:qFormat/>
    <w:rPr>
      <w:rFonts w:cs="Wingdings"/>
    </w:rPr>
  </w:style>
  <w:style w:type="character" w:styleId="ListLabel120">
    <w:name w:val="ListLabel 120"/>
    <w:qFormat/>
    <w:rPr>
      <w:rFonts w:cs="Symbol"/>
    </w:rPr>
  </w:style>
  <w:style w:type="character" w:styleId="ListLabel121">
    <w:name w:val="ListLabel 121"/>
    <w:qFormat/>
    <w:rPr>
      <w:rFonts w:cs="Courier New"/>
    </w:rPr>
  </w:style>
  <w:style w:type="character" w:styleId="ListLabel122">
    <w:name w:val="ListLabel 122"/>
    <w:qFormat/>
    <w:rPr>
      <w:rFonts w:cs="Wingdings"/>
    </w:rPr>
  </w:style>
  <w:style w:type="character" w:styleId="ListLabel123">
    <w:name w:val="ListLabel 123"/>
    <w:qFormat/>
    <w:rPr>
      <w:rFonts w:cs="Symbol"/>
      <w:sz w:val="22"/>
    </w:rPr>
  </w:style>
  <w:style w:type="character" w:styleId="ListLabel124">
    <w:name w:val="ListLabel 124"/>
    <w:qFormat/>
    <w:rPr>
      <w:rFonts w:cs="Courier New"/>
    </w:rPr>
  </w:style>
  <w:style w:type="character" w:styleId="ListLabel125">
    <w:name w:val="ListLabel 125"/>
    <w:qFormat/>
    <w:rPr>
      <w:rFonts w:cs="Wingdings"/>
    </w:rPr>
  </w:style>
  <w:style w:type="character" w:styleId="ListLabel126">
    <w:name w:val="ListLabel 126"/>
    <w:qFormat/>
    <w:rPr>
      <w:rFonts w:cs="Symbol"/>
    </w:rPr>
  </w:style>
  <w:style w:type="character" w:styleId="ListLabel127">
    <w:name w:val="ListLabel 127"/>
    <w:qFormat/>
    <w:rPr>
      <w:rFonts w:cs="Courier New"/>
    </w:rPr>
  </w:style>
  <w:style w:type="character" w:styleId="ListLabel128">
    <w:name w:val="ListLabel 128"/>
    <w:qFormat/>
    <w:rPr>
      <w:rFonts w:cs="Wingdings"/>
    </w:rPr>
  </w:style>
  <w:style w:type="character" w:styleId="ListLabel129">
    <w:name w:val="ListLabel 129"/>
    <w:qFormat/>
    <w:rPr>
      <w:rFonts w:cs="Symbol"/>
    </w:rPr>
  </w:style>
  <w:style w:type="character" w:styleId="ListLabel130">
    <w:name w:val="ListLabel 130"/>
    <w:qFormat/>
    <w:rPr>
      <w:rFonts w:cs="Courier New"/>
    </w:rPr>
  </w:style>
  <w:style w:type="character" w:styleId="ListLabel131">
    <w:name w:val="ListLabel 131"/>
    <w:qFormat/>
    <w:rPr>
      <w:rFonts w:cs="Wingdings"/>
    </w:rPr>
  </w:style>
  <w:style w:type="character" w:styleId="ListLabel132">
    <w:name w:val="ListLabel 132"/>
    <w:qFormat/>
    <w:rPr>
      <w:rFonts w:eastAsia="Calibri"/>
      <w:sz w:val="22"/>
      <w:szCs w:val="22"/>
      <w:lang w:eastAsia="en-US"/>
    </w:rPr>
  </w:style>
  <w:style w:type="character" w:styleId="ListLabel133">
    <w:name w:val="ListLabel 133"/>
    <w:qFormat/>
    <w:rPr>
      <w:rFonts w:cs="Symbol"/>
      <w:sz w:val="22"/>
    </w:rPr>
  </w:style>
  <w:style w:type="character" w:styleId="ListLabel134">
    <w:name w:val="ListLabel 134"/>
    <w:qFormat/>
    <w:rPr>
      <w:rFonts w:cs="Courier New"/>
    </w:rPr>
  </w:style>
  <w:style w:type="character" w:styleId="ListLabel135">
    <w:name w:val="ListLabel 135"/>
    <w:qFormat/>
    <w:rPr>
      <w:rFonts w:cs="Wingdings"/>
    </w:rPr>
  </w:style>
  <w:style w:type="character" w:styleId="ListLabel136">
    <w:name w:val="ListLabel 136"/>
    <w:qFormat/>
    <w:rPr>
      <w:rFonts w:cs="Symbol"/>
    </w:rPr>
  </w:style>
  <w:style w:type="character" w:styleId="ListLabel137">
    <w:name w:val="ListLabel 137"/>
    <w:qFormat/>
    <w:rPr>
      <w:rFonts w:cs="Courier New"/>
    </w:rPr>
  </w:style>
  <w:style w:type="character" w:styleId="ListLabel138">
    <w:name w:val="ListLabel 138"/>
    <w:qFormat/>
    <w:rPr>
      <w:rFonts w:cs="Wingdings"/>
    </w:rPr>
  </w:style>
  <w:style w:type="character" w:styleId="ListLabel139">
    <w:name w:val="ListLabel 139"/>
    <w:qFormat/>
    <w:rPr>
      <w:rFonts w:cs="Symbol"/>
    </w:rPr>
  </w:style>
  <w:style w:type="character" w:styleId="ListLabel140">
    <w:name w:val="ListLabel 140"/>
    <w:qFormat/>
    <w:rPr>
      <w:rFonts w:cs="Courier New"/>
    </w:rPr>
  </w:style>
  <w:style w:type="character" w:styleId="ListLabel141">
    <w:name w:val="ListLabel 141"/>
    <w:qFormat/>
    <w:rPr>
      <w:rFonts w:cs="Wingdings"/>
    </w:rPr>
  </w:style>
  <w:style w:type="character" w:styleId="ListLabel142">
    <w:name w:val="ListLabel 142"/>
    <w:qFormat/>
    <w:rPr>
      <w:rFonts w:cs="Symbol"/>
      <w:sz w:val="22"/>
    </w:rPr>
  </w:style>
  <w:style w:type="character" w:styleId="ListLabel143">
    <w:name w:val="ListLabel 143"/>
    <w:qFormat/>
    <w:rPr>
      <w:rFonts w:cs="Courier New"/>
    </w:rPr>
  </w:style>
  <w:style w:type="character" w:styleId="ListLabel144">
    <w:name w:val="ListLabel 144"/>
    <w:qFormat/>
    <w:rPr>
      <w:rFonts w:cs="Wingdings"/>
    </w:rPr>
  </w:style>
  <w:style w:type="character" w:styleId="ListLabel145">
    <w:name w:val="ListLabel 145"/>
    <w:qFormat/>
    <w:rPr>
      <w:rFonts w:cs="Symbol"/>
    </w:rPr>
  </w:style>
  <w:style w:type="character" w:styleId="ListLabel146">
    <w:name w:val="ListLabel 146"/>
    <w:qFormat/>
    <w:rPr>
      <w:rFonts w:cs="Courier New"/>
    </w:rPr>
  </w:style>
  <w:style w:type="character" w:styleId="ListLabel147">
    <w:name w:val="ListLabel 147"/>
    <w:qFormat/>
    <w:rPr>
      <w:rFonts w:cs="Wingdings"/>
    </w:rPr>
  </w:style>
  <w:style w:type="character" w:styleId="ListLabel148">
    <w:name w:val="ListLabel 148"/>
    <w:qFormat/>
    <w:rPr>
      <w:rFonts w:cs="Symbol"/>
    </w:rPr>
  </w:style>
  <w:style w:type="character" w:styleId="ListLabel149">
    <w:name w:val="ListLabel 149"/>
    <w:qFormat/>
    <w:rPr>
      <w:rFonts w:cs="Courier New"/>
    </w:rPr>
  </w:style>
  <w:style w:type="character" w:styleId="ListLabel150">
    <w:name w:val="ListLabel 150"/>
    <w:qFormat/>
    <w:rPr>
      <w:rFonts w:cs="Wingdings"/>
    </w:rPr>
  </w:style>
  <w:style w:type="character" w:styleId="ListLabel151">
    <w:name w:val="ListLabel 151"/>
    <w:qFormat/>
    <w:rPr>
      <w:color w:val="auto"/>
      <w:sz w:val="22"/>
      <w:szCs w:val="22"/>
      <w:u w:val="none"/>
    </w:rPr>
  </w:style>
  <w:style w:type="paragraph" w:styleId="Style19">
    <w:name w:val="Заголовок"/>
    <w:basedOn w:val="Normal"/>
    <w:next w:val="Style20"/>
    <w:qFormat/>
    <w:pPr>
      <w:keepNext w:val="true"/>
      <w:spacing w:before="240" w:after="120"/>
    </w:pPr>
    <w:rPr>
      <w:rFonts w:ascii="Times New Roman" w:hAnsi="Times New Roman" w:eastAsia="Microsoft YaHei" w:cs="Arial"/>
      <w:sz w:val="28"/>
      <w:szCs w:val="28"/>
    </w:rPr>
  </w:style>
  <w:style w:type="paragraph" w:styleId="Style20">
    <w:name w:val="Body Text"/>
    <w:basedOn w:val="Normal"/>
    <w:pPr>
      <w:spacing w:lineRule="auto" w:line="276" w:before="0" w:after="140"/>
    </w:pPr>
    <w:rPr/>
  </w:style>
  <w:style w:type="paragraph" w:styleId="Style21">
    <w:name w:val="List"/>
    <w:basedOn w:val="Style20"/>
    <w:pPr/>
    <w:rPr>
      <w:rFonts w:ascii="Times New Roman" w:hAnsi="Times New Roman" w:cs="Arial"/>
    </w:rPr>
  </w:style>
  <w:style w:type="paragraph" w:styleId="Style22">
    <w:name w:val="Caption"/>
    <w:basedOn w:val="Normal"/>
    <w:qFormat/>
    <w:pPr>
      <w:suppressLineNumbers/>
      <w:spacing w:before="120" w:after="120"/>
    </w:pPr>
    <w:rPr>
      <w:rFonts w:ascii="Times New Roman" w:hAnsi="Times New Roman" w:cs="Arial"/>
      <w:i/>
      <w:iCs/>
      <w:sz w:val="24"/>
      <w:szCs w:val="24"/>
    </w:rPr>
  </w:style>
  <w:style w:type="paragraph" w:styleId="Style23">
    <w:name w:val="Указатель"/>
    <w:basedOn w:val="Normal"/>
    <w:qFormat/>
    <w:pPr>
      <w:suppressLineNumbers/>
    </w:pPr>
    <w:rPr>
      <w:rFonts w:ascii="Times New Roman" w:hAnsi="Times New Roman" w:cs="Arial"/>
    </w:rPr>
  </w:style>
  <w:style w:type="paragraph" w:styleId="BalloonText">
    <w:name w:val="Balloon Text"/>
    <w:basedOn w:val="Normal"/>
    <w:link w:val="a5"/>
    <w:uiPriority w:val="99"/>
    <w:semiHidden/>
    <w:unhideWhenUsed/>
    <w:qFormat/>
    <w:rsid w:val="00d265bb"/>
    <w:pPr>
      <w:suppressAutoHyphens w:val="false"/>
    </w:pPr>
    <w:rPr>
      <w:rFonts w:ascii="Tahoma" w:hAnsi="Tahoma" w:eastAsia="Calibri" w:cs="Tahoma" w:eastAsiaTheme="minorHAnsi"/>
      <w:sz w:val="16"/>
      <w:szCs w:val="16"/>
      <w:lang w:eastAsia="en-US"/>
    </w:rPr>
  </w:style>
  <w:style w:type="paragraph" w:styleId="111" w:customStyle="1">
    <w:name w:val="Основной текст (11)1"/>
    <w:basedOn w:val="Normal"/>
    <w:qFormat/>
    <w:rsid w:val="004e4dff"/>
    <w:pPr>
      <w:widowControl w:val="false"/>
      <w:shd w:val="clear" w:color="auto" w:fill="FFFFFF"/>
      <w:spacing w:lineRule="exact" w:line="326" w:before="1140" w:after="600"/>
      <w:jc w:val="center"/>
    </w:pPr>
    <w:rPr>
      <w:sz w:val="25"/>
      <w:szCs w:val="25"/>
      <w:lang w:eastAsia="ru-RU"/>
    </w:rPr>
  </w:style>
  <w:style w:type="paragraph" w:styleId="Style24">
    <w:name w:val="Header"/>
    <w:basedOn w:val="Normal"/>
    <w:link w:val="a7"/>
    <w:uiPriority w:val="99"/>
    <w:unhideWhenUsed/>
    <w:rsid w:val="00b87723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Style25">
    <w:name w:val="Footer"/>
    <w:basedOn w:val="Normal"/>
    <w:link w:val="a9"/>
    <w:uiPriority w:val="99"/>
    <w:unhideWhenUsed/>
    <w:rsid w:val="00b87723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ListParagraph">
    <w:name w:val="List Paragraph"/>
    <w:basedOn w:val="Normal"/>
    <w:link w:val="ab"/>
    <w:uiPriority w:val="34"/>
    <w:qFormat/>
    <w:rsid w:val="008533f2"/>
    <w:pPr>
      <w:spacing w:before="0" w:after="0"/>
      <w:ind w:left="720" w:hanging="0"/>
      <w:contextualSpacing/>
    </w:pPr>
    <w:rPr/>
  </w:style>
  <w:style w:type="paragraph" w:styleId="NormalWeb">
    <w:name w:val="Normal (Web)"/>
    <w:basedOn w:val="Normal"/>
    <w:uiPriority w:val="99"/>
    <w:unhideWhenUsed/>
    <w:qFormat/>
    <w:rsid w:val="00837889"/>
    <w:pPr>
      <w:suppressAutoHyphens w:val="false"/>
    </w:pPr>
    <w:rPr>
      <w:lang w:eastAsia="ru-RU"/>
    </w:rPr>
  </w:style>
  <w:style w:type="paragraph" w:styleId="Doc1" w:customStyle="1">
    <w:name w:val="Doc-Текст"/>
    <w:uiPriority w:val="99"/>
    <w:qFormat/>
    <w:rsid w:val="00ba47c3"/>
    <w:pPr>
      <w:widowControl w:val="false"/>
      <w:bidi w:val="0"/>
      <w:spacing w:lineRule="auto" w:line="360" w:before="0" w:after="0"/>
      <w:ind w:firstLine="709"/>
      <w:jc w:val="both"/>
      <w:textAlignment w:val="baseline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Doc2" w:customStyle="1">
    <w:name w:val="Doc-Маркированный список"/>
    <w:basedOn w:val="Doc1"/>
    <w:qFormat/>
    <w:rsid w:val="00ba47c3"/>
    <w:pPr>
      <w:tabs>
        <w:tab w:val="clear" w:pos="708"/>
        <w:tab w:val="left" w:pos="993" w:leader="none"/>
      </w:tabs>
    </w:pPr>
    <w:rPr/>
  </w:style>
  <w:style w:type="paragraph" w:styleId="1" w:customStyle="1">
    <w:name w:val="Абзац списка1"/>
    <w:basedOn w:val="Normal"/>
    <w:qFormat/>
    <w:rsid w:val="00892779"/>
    <w:pPr>
      <w:suppressAutoHyphens w:val="false"/>
      <w:ind w:left="720" w:hanging="0"/>
      <w:jc w:val="both"/>
    </w:pPr>
    <w:rPr>
      <w:rFonts w:ascii="Calibri" w:hAnsi="Calibri" w:eastAsia="Calibri"/>
      <w:szCs w:val="22"/>
      <w:lang w:eastAsia="ru-RU"/>
    </w:rPr>
  </w:style>
  <w:style w:type="paragraph" w:styleId="Doc3" w:customStyle="1">
    <w:name w:val="Doc-Т внутри нумерации"/>
    <w:basedOn w:val="Normal"/>
    <w:link w:val="Doc-1"/>
    <w:uiPriority w:val="99"/>
    <w:qFormat/>
    <w:rsid w:val="003767f6"/>
    <w:pPr>
      <w:suppressAutoHyphens w:val="false"/>
      <w:spacing w:lineRule="auto" w:line="360"/>
      <w:ind w:left="720" w:firstLine="709"/>
      <w:jc w:val="both"/>
    </w:pPr>
    <w:rPr>
      <w:rFonts w:ascii="Calibri" w:hAnsi="Calibri" w:eastAsia="Calibri" w:cs="" w:asciiTheme="minorHAnsi" w:cstheme="minorBidi" w:eastAsiaTheme="minorHAnsi" w:hAnsiTheme="minorHAnsi"/>
      <w:sz w:val="22"/>
      <w:szCs w:val="22"/>
      <w:lang w:eastAsia="en-US"/>
    </w:rPr>
  </w:style>
  <w:style w:type="paragraph" w:styleId="NoSpacing">
    <w:name w:val="No Spacing"/>
    <w:uiPriority w:val="1"/>
    <w:qFormat/>
    <w:rsid w:val="00a71556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zh-CN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d265bb"/>
    <w:pPr>
      <w:spacing w:after="0" w:line="240" w:lineRule="auto"/>
      <w:jc w:val="both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garantf1://70481474.1000" TargetMode="External"/><Relationship Id="rId3" Type="http://schemas.openxmlformats.org/officeDocument/2006/relationships/header" Target="header1.xml"/><Relationship Id="rId4" Type="http://schemas.openxmlformats.org/officeDocument/2006/relationships/header" Target="header2.xml"/><Relationship Id="rId5" Type="http://schemas.openxmlformats.org/officeDocument/2006/relationships/footer" Target="footer1.xml"/><Relationship Id="rId6" Type="http://schemas.openxmlformats.org/officeDocument/2006/relationships/numbering" Target="numbering.xml"/><Relationship Id="rId7" Type="http://schemas.openxmlformats.org/officeDocument/2006/relationships/fontTable" Target="fontTable.xml"/><Relationship Id="rId8" Type="http://schemas.openxmlformats.org/officeDocument/2006/relationships/settings" Target="settings.xml"/><Relationship Id="rId9" Type="http://schemas.openxmlformats.org/officeDocument/2006/relationships/theme" Target="theme/theme1.xml"/><Relationship Id="rId10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A5F82D-8B40-43D9-A15F-9C559CFC09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635</TotalTime>
  <Application>LibreOffice/6.1.1.2$Windows_X86_64 LibreOffice_project/5d19a1bfa650b796764388cd8b33a5af1f5baa1b</Application>
  <Pages>6</Pages>
  <Words>1537</Words>
  <Characters>12499</Characters>
  <CharactersWithSpaces>13878</CharactersWithSpaces>
  <Paragraphs>179</Paragraphs>
  <Company>*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2018-01-26T12:30:00Z</dcterms:created>
  <dc:creator>Петрова Оксана Ивановна</dc:creator>
  <dc:description/>
  <dc:language>ru-RU</dc:language>
  <cp:lastModifiedBy/>
  <cp:lastPrinted>2018-02-16T10:22:00Z</cp:lastPrinted>
  <dcterms:modified xsi:type="dcterms:W3CDTF">2018-11-15T17:08:02Z</dcterms:modified>
  <cp:revision>63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*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