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ПРОФИЛЬ ДОЛЖНОСТИ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 xml:space="preserve">заместителя начальника отдела развития пищевой промышленности  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 xml:space="preserve">Управления агропромышленного комплекса 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>Департамента промышленности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>Ханты-Мансийского автономного округа – Югры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none"/>
          <w:lang w:eastAsia="ru-RU"/>
        </w:rPr>
        <w:t xml:space="preserve">      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(категория «Руководители» группа «Главные»)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W w:w="9356" w:type="dxa"/>
        <w:jc w:val="left"/>
        <w:tblInd w:w="-12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single" w:sz="4" w:space="0" w:color="000000"/>
          <w:insideH w:val="outset" w:sz="6" w:space="0" w:color="000000"/>
          <w:insideV w:val="single" w:sz="4" w:space="0" w:color="000000"/>
        </w:tblBorders>
        <w:tblCellMar>
          <w:top w:w="15" w:type="dxa"/>
          <w:left w:w="0" w:type="dxa"/>
          <w:bottom w:w="15" w:type="dxa"/>
          <w:right w:w="28" w:type="dxa"/>
        </w:tblCellMar>
        <w:tblLook w:firstRow="1" w:noVBand="1" w:lastRow="0" w:firstColumn="1" w:lastColumn="0" w:noHBand="0" w:val="04a0"/>
      </w:tblPr>
      <w:tblGrid>
        <w:gridCol w:w="3686"/>
        <w:gridCol w:w="5669"/>
      </w:tblGrid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Основные сведения и обязанности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по должности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Требования к кандидатам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 xml:space="preserve">Наименование должности 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Заместитель начальника отдела развития пищевой промышленности Управления агропромышленного комплекса Департамента промышленности                      Ханты-Мансийского автономного округа – Югры.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Область профессиональной служебной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Управление в сфере агропромышленного комплекса.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Виды профессиональной служебной деятельности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2"/>
                <w:szCs w:val="22"/>
                <w:lang w:eastAsia="ru-RU"/>
              </w:rPr>
              <w:t>Создание условий для развития агропромышленного комплекса и пищевой промышленности в                     автономном округе, реализация государственной политики, нормативное правовое регулирование в сфере агропромышленного комплекса и пищевой промышленности.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Подчиненность должности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22" w:type="dxa"/>
            </w:tcMar>
          </w:tcPr>
          <w:p>
            <w:pPr>
              <w:pStyle w:val="NoSpacing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 xml:space="preserve">Подчиняется начальнику отдела развития пищевой промышленности Управления агропромышленного комплекса Департамента. 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Количество подчиненных сотрудников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textAlignment w:val="baseline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 штатных единицы в отделе.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Условия работы (график и режим работы, оплата труда, частота командировок, допуск к государственной тайне, испытательный срок)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Продолжительность и режим работы:  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для мужчин - 40 часов в неделю,  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для женщин - 36 часов в неделю,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выходные дни - суббота и воскресенье,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ненормированный рабочий день.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Основные задачи и обязанности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 должности (кратко)</w:t>
            </w:r>
          </w:p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b/>
                <w:b/>
                <w:bCs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осуществляет мероприятия по организации и регулированию промышленного, любительского и спортивного рыболовства, рыболовства в целях обеспечения традиционного образа жизни и осуществления традиционной хозяйственной деятельности коренными малочисленными народами Севера на территории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участвует в формировании предложений по распределению общих допустимых уловов водных биологических ресурсов для промышленного рыболовства, организации любительского и спортивного рыболовства, рыболовства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на предстоящий календарный год для федерального органа исполнительной власти в области рыболовства;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осуществляет мониторинг правоприменения нормативных правовых актов в автономном округе по вопросам деятельности отдела;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участвует в реализации государственных программ автономного округа в соответствии с функциями отдела, в мероприятиях по определению приоритетных направлений развития пищевой промышленности, рыболовства и аквакультуры (рыбоводства) в автономном округе;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осуществляет предоставление государственных услуг, курируемых отделом;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осуществляет работу по определению границ рыбопромысловых (рыболовных) и рыбоводных участков на территории автономного округа; 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осуществляет организацию и проведение конкурсов на право заключения договоров о предоставлении рыбопромысловых (рыболовных) участков для осуществления промышленного рыболовства, организации любительского и спортивного рыболовства,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</w:t>
            </w:r>
            <w:r>
              <w:rPr>
                <w:rFonts w:eastAsia="Times New Roman" w:cs="Times New Roman" w:ascii="Times New Roman" w:hAnsi="Times New Roman"/>
                <w:i/>
                <w:sz w:val="22"/>
                <w:szCs w:val="22"/>
                <w:lang w:eastAsia="ru-RU"/>
              </w:rPr>
              <w:t>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Style w:val="FontStyle12"/>
                <w:rFonts w:eastAsia="Times New Roman"/>
                <w:sz w:val="22"/>
                <w:szCs w:val="22"/>
                <w:lang w:eastAsia="ru-RU"/>
              </w:rPr>
              <w:t xml:space="preserve">- участвует в </w:t>
            </w:r>
            <w:r>
              <w:rPr>
                <w:rFonts w:ascii="Times New Roman" w:hAnsi="Times New Roman"/>
                <w:sz w:val="22"/>
                <w:szCs w:val="22"/>
              </w:rPr>
              <w:t>обеспечении деятельности территориального рыбохозяйственного Совета при Правительстве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участвует в обеспечении выполнения рыбохозяйственных мероприятий в пределах полномочий Департамента;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принимает участие в работе комиссий и рабочих группах, научно-консультативных и экспертных советов с привлечением представителей других органов государственной власти, организаций по вопросам компетенции отдела, а также принимает участие в конференциях, семинарах, совещаниях, выставках и других мероприятиях по вопросам, касающимся деятельности отдела.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Работа подразумевает: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работу с документами;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оказание государственных услуг;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внешние коммуникации (с гражданами, общественностью, сообществами и т.д.);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внутреннее взаимодействие;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другое_____________________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(выбрать)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работа с документами;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организация оказания государственных услуг;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внешние коммуникации (с гражданами, общественностью, сообществами и т.д.);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организация внутреннего взаимодействия.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Образование кандидата: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уровень образования;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направление (при необходимости)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специальность (при необходимости)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 xml:space="preserve">Высшее образование – специалитет, магистратура 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по направлениям подготовки (специальности(-ям) профессионального образования: специализированное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Стаж работы: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 специальности;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государственной службы;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управленческий стаж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eastAsia="ru-RU"/>
              </w:rPr>
              <w:t>Не менее двух лет стажа государственной службы или стажа работы по специальности, направлению подготовки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Опыт работы в сфере агропромышленного комплекса 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Не менее двух лет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Показатели эффективности и результативности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 отдела;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-обеспечение выполнения плана мероприятий отдела, Управления;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- своевременность исполнения поручений начальника отдела, начальника Управления, заместителя директора Департамента, директора Департамента;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своевременность подготовки проектов ответов на обращения, запросы, представления, информации;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отсутствие установленных фактов нарушений законодательства Российской Федерации, законодательства автономного округа и иных нормативных правовых актов в установленной сфере деятельности;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соблюдение требований к служебному поведению и служебному распорядку Департамента, Кодекса профессиональной этики государственных гражданских служащих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выполнение целевых показателей по направлению деятельности отдела.</w:t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>Требования к знаниям и умениям (кратко):</w:t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tbl>
      <w:tblPr>
        <w:tblW w:w="9356" w:type="dxa"/>
        <w:jc w:val="lef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99"/>
        <w:gridCol w:w="144"/>
        <w:gridCol w:w="283"/>
        <w:gridCol w:w="7229"/>
      </w:tblGrid>
      <w:tr>
        <w:trPr>
          <w:trHeight w:val="507" w:hRule="atLeast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lang w:eastAsia="ru-RU"/>
              </w:rPr>
              <w:t>Знания и умения</w:t>
            </w:r>
          </w:p>
        </w:tc>
        <w:tc>
          <w:tcPr>
            <w:tcW w:w="76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Calibri" w:cs="Times New Roman"/>
                <w:b/>
                <w:b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lang w:eastAsia="ru-RU"/>
              </w:rPr>
              <w:t>Требования</w:t>
            </w:r>
          </w:p>
        </w:tc>
      </w:tr>
      <w:tr>
        <w:trPr>
          <w:trHeight w:val="557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Базовые знания и умения:</w:t>
            </w:r>
          </w:p>
        </w:tc>
      </w:tr>
      <w:tr>
        <w:trPr>
          <w:trHeight w:val="225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Знание государственного языка Российской Федерации (русского языка)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Знание правовых основ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Наличие знаний конституционных прав и свобод гражданина Российской Федерации, правового положения (статуса) государственного гражданского служащего, понятия коррупции и основных принципов противодействия коррупции.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 xml:space="preserve">Знания и умения в области информационно-коммуникационных технологий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знаний: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 xml:space="preserve">форм и методов работы с применением автоматизированных средств управления;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правовых аспектов в сфере предоставления государственных услуг населению и организациям</w:t>
            </w:r>
            <w:r>
              <w:rPr>
                <w:rFonts w:eastAsia="Times New Roman" w:cs="Times New Roman" w:ascii="Times New Roman" w:hAnsi="Times New Roman"/>
                <w:color w:val="FF0000"/>
                <w:lang w:eastAsia="zh-CN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zh-CN"/>
              </w:rPr>
              <w:t>посредством применения информационно-коммуникационных технологий;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общих вопросов в области обеспечения информационной безопасности;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информационно-аналитических систем, обеспечивающих сбор, обработку, хранение и анализ данных;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2"/>
                <w:szCs w:val="22"/>
                <w:u w:val="none"/>
                <w:lang w:eastAsia="zh-CN"/>
              </w:rPr>
              <w:t>аппаратного и программного обеспечения (знание состава компьютера, работы в операционной системе, почтовых программ, офисных приложений, справочно-правовых систем);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другие в соответствии с должностным регламентом.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54" w:hanging="0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i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8"/>
                <w:szCs w:val="28"/>
                <w:u w:val="single"/>
                <w:lang w:eastAsia="ru-RU"/>
              </w:rPr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40" w:before="0" w:after="0"/>
              <w:ind w:left="317" w:hanging="283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умений: 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владение компьютерной, другой оргтехникой и необходимым программным обеспечением;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работа с системами межведомственного взаимодействия, управление государственными информационными ресурсами;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i w:val="false"/>
                <w:i w:val="false"/>
                <w:iCs w:val="false"/>
                <w:u w:val="non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u w:val="none"/>
                <w:lang w:eastAsia="zh-CN"/>
              </w:rPr>
              <w:t>и другие.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Знания и умения в области проектного управления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Знания: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терминов, принципов и порядка управления проектами;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- порядка планирования, реализации, закрытия проекта,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методов управления содержанием, ресурсами проекта, процессов управления человеческими ресурсами проекта, требований к человеческим ресурсам.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Умения: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эффективное выполнение процессов подготовки, согласования и ведения управленческой документации;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- использование современного ПО в области управления проектами;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планирование человеческих ресурсов проекта, определения состава человеческих ресурсов, требуемых для выполнения проекта, согласования с владельцами ресурсов выделения ресурсов на проект;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/>
            </w:pPr>
            <w:bookmarkStart w:id="2" w:name="__DdeLink__5595_3025043969"/>
            <w:r>
              <w:rPr>
                <w:rFonts w:eastAsia="Times New Roman" w:cs="Times New Roman" w:ascii="Times New Roman" w:hAnsi="Times New Roman"/>
                <w:lang w:eastAsia="ru-RU"/>
              </w:rPr>
              <w:t>- развитие команды проекта: повышения квалификации, улучшения взаимодействия, поддержки и воодушевления членов команды для эффективности их работы, контроля деятельности команды проекта.</w:t>
            </w:r>
            <w:bookmarkEnd w:id="2"/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eastAsia="ru-RU"/>
              </w:rPr>
              <w:t>Наличие знаний порядка рассмотрения обращений граждан, основ делопроизводства и документооборота.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Общие и управленческие умения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Общие умения: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умение мыслить стратегически (системно);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умение планировать, рационально использовать служебное время и достигать результата;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коммуникативные умения;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умение совершенствовать свой профессиональный уровень.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val="000000"/>
                <w:lang w:eastAsia="ru-RU"/>
              </w:rPr>
              <w:t>Управленческие умения:</w:t>
            </w:r>
          </w:p>
          <w:p>
            <w:pPr>
              <w:pStyle w:val="Normal"/>
              <w:spacing w:lineRule="auto" w:line="240" w:before="0" w:after="0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val="000000"/>
                <w:lang w:eastAsia="ru-RU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i w:val="false"/>
                <w:iCs w:val="false"/>
                <w:lang w:eastAsia="zh-CN"/>
              </w:rPr>
              <w:t>умение эффективно планировать, организовывать работу и контролировать ее выполнение.</w:t>
            </w:r>
          </w:p>
        </w:tc>
      </w:tr>
      <w:tr>
        <w:trPr>
          <w:trHeight w:val="507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zh-CN"/>
              </w:rPr>
              <w:t>Профессионально-функциональные знания и умения:</w:t>
            </w:r>
          </w:p>
        </w:tc>
      </w:tr>
      <w:tr>
        <w:trPr>
          <w:trHeight w:val="507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П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>рофессиональные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законодательства Российской Федерации и Ханты-Мансийского автономного округа – Югры в сфере агропромышленного комплекса, пищевой промышленности;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zh-CN"/>
              </w:rPr>
              <w:t>- приоритетов государственной политики в области агропромышленного комплекса, пищевой промышленности;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zh-CN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>
            <w:pPr>
              <w:pStyle w:val="Normal"/>
              <w:suppressAutoHyphens w:val="true"/>
              <w:spacing w:lineRule="auto" w:line="240" w:before="0" w:after="0"/>
              <w:ind w:firstLine="708"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умений: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подготовка проектов нормативных правовых актов, программ, концепций;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применение нормативных правовых актов в практической деятельности;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пользование современной оргтехникой (в том числе,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данных.</w:t>
            </w:r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Функциональные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понятие проекта нормативного правового акта, инструменты </w:t>
              <w:br/>
              <w:t>и этапы его разработки;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принципы ведения сельскохозяйственного производства в условиях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меры государственной поддержки агропромышленного комплекса из федерального и регионального бюджетов;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приоритетные направления в сфере агропромышленного комплекса и пищевой промышленности.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умений: 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прием и согласование документации, заявок, заявлений;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предоставление информации из реестров, баз данных, выдача справок, выписок, документов, разъяснений и сведений;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рассмотрение запросов, ходатайств, уведомлений, жалоб;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проведение консультаций.</w:t>
            </w:r>
          </w:p>
        </w:tc>
      </w:tr>
      <w:tr>
        <w:trPr>
          <w:trHeight w:val="50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42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hd w:fill="FFFFFF" w:val="clear"/>
                <w:lang w:eastAsia="ru-RU"/>
              </w:rPr>
              <w:t>Профессиональные качества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33" w:leader="none"/>
              </w:tabs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Calibri" w:cs="Times New Roman" w:ascii="Times New Roman" w:hAnsi="Times New Roman"/>
                <w:lang w:eastAsia="zh-CN"/>
              </w:rPr>
              <w:t>-</w:t>
            </w:r>
            <w:r>
              <w:rPr>
                <w:rFonts w:eastAsia="Calibri" w:cs="Times New Roman" w:ascii="Times New Roman" w:hAnsi="Times New Roman"/>
                <w:sz w:val="22"/>
                <w:szCs w:val="22"/>
                <w:lang w:eastAsia="zh-CN"/>
              </w:rPr>
              <w:t xml:space="preserve"> эффективность коммуникаций;</w:t>
            </w:r>
          </w:p>
          <w:p>
            <w:pPr>
              <w:pStyle w:val="Normal"/>
              <w:tabs>
                <w:tab w:val="clear" w:pos="708"/>
                <w:tab w:val="left" w:pos="0" w:leader="none"/>
                <w:tab w:val="left" w:pos="33" w:leader="none"/>
                <w:tab w:val="left" w:pos="142" w:leader="none"/>
              </w:tabs>
              <w:spacing w:lineRule="auto" w:line="240"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  <w:t xml:space="preserve">- ориентация на достижение результата; </w:t>
            </w:r>
          </w:p>
          <w:p>
            <w:pPr>
              <w:pStyle w:val="ListParagraph"/>
              <w:tabs>
                <w:tab w:val="clear" w:pos="708"/>
                <w:tab w:val="left" w:pos="0" w:leader="none"/>
                <w:tab w:val="left" w:pos="34" w:leader="none"/>
                <w:tab w:val="left" w:pos="142" w:leader="none"/>
              </w:tabs>
              <w:spacing w:lineRule="auto" w:line="240"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- саморазвитие; </w:t>
            </w:r>
          </w:p>
          <w:p>
            <w:pPr>
              <w:pStyle w:val="ListParagraph"/>
              <w:tabs>
                <w:tab w:val="clear" w:pos="708"/>
                <w:tab w:val="left" w:pos="0" w:leader="none"/>
                <w:tab w:val="left" w:pos="33" w:leader="none"/>
                <w:tab w:val="left" w:pos="142" w:leader="none"/>
              </w:tabs>
              <w:spacing w:lineRule="auto" w:line="240"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- работа в команде.</w:t>
            </w:r>
          </w:p>
          <w:p>
            <w:pPr>
              <w:pStyle w:val="Normal"/>
              <w:tabs>
                <w:tab w:val="clear" w:pos="708"/>
                <w:tab w:val="left" w:pos="33" w:leader="none"/>
              </w:tabs>
              <w:spacing w:lineRule="auto" w:line="240" w:before="0" w:after="0"/>
              <w:ind w:left="753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3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Личностные качества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аналитическое мышление;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исполнительность;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коммуникабельность;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bookmarkStart w:id="3" w:name="_Toc371446514"/>
            <w:bookmarkStart w:id="4" w:name="_Toc370808735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</w:t>
            </w:r>
            <w:bookmarkEnd w:id="3"/>
            <w:bookmarkEnd w:id="4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bookmarkStart w:id="5" w:name="_Toc371446518"/>
            <w:bookmarkStart w:id="6" w:name="_Toc370808739"/>
            <w:bookmarkEnd w:id="5"/>
            <w:bookmarkEnd w:id="6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обучаемость;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организованность;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- </w:t>
            </w:r>
            <w:bookmarkStart w:id="7" w:name="_Toc371446524"/>
            <w:bookmarkStart w:id="8" w:name="_Toc370808745"/>
            <w:bookmarkStart w:id="9" w:name="_Toc3714465181"/>
            <w:bookmarkStart w:id="10" w:name="_Toc3708087391"/>
            <w:bookmarkEnd w:id="9"/>
            <w:bookmarkEnd w:id="10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ответственность;</w:t>
            </w:r>
            <w:bookmarkEnd w:id="7"/>
            <w:bookmarkEnd w:id="8"/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- </w:t>
            </w:r>
            <w:bookmarkStart w:id="11" w:name="_Toc371446536"/>
            <w:bookmarkStart w:id="12" w:name="_Toc370808757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пунктуальность;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bookmarkEnd w:id="11"/>
            <w:bookmarkEnd w:id="12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стрессоустойчивость;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целеустремленность.</w:t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"/>
      <w:lvlJc w:val="left"/>
      <w:pPr>
        <w:ind w:left="785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pPr>
      <w:keepNext w:val="true"/>
      <w:keepLines/>
      <w:spacing w:before="480" w:after="0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Style13">
    <w:name w:val="Символ концевой сноски"/>
    <w:qFormat/>
    <w:rPr/>
  </w:style>
  <w:style w:type="character" w:styleId="Style14">
    <w:name w:val="Привязка концевой сноски"/>
    <w:rPr>
      <w:vertAlign w:val="superscript"/>
    </w:rPr>
  </w:style>
  <w:style w:type="character" w:styleId="ListLabel13">
    <w:name w:val="ListLabel 13"/>
    <w:qFormat/>
    <w:rPr>
      <w:rFonts w:ascii="Times New Roman" w:hAnsi="Times New Roman"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ascii="Times New Roman" w:hAnsi="Times New Roman" w:cs="Symbol"/>
      <w:sz w:val="22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character" w:styleId="ListLabel40">
    <w:name w:val="ListLabel 40"/>
    <w:qFormat/>
    <w:rPr>
      <w:rFonts w:cs="Symbol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Wingdings"/>
    </w:rPr>
  </w:style>
  <w:style w:type="character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character" w:styleId="ListLabel49">
    <w:name w:val="ListLabel 49"/>
    <w:qFormat/>
    <w:rPr>
      <w:rFonts w:ascii="Times New Roman" w:hAnsi="Times New Roman" w:cs="Symbol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Wingdings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Wingdings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Wingdings"/>
    </w:rPr>
  </w:style>
  <w:style w:type="character" w:styleId="ListLabel58">
    <w:name w:val="ListLabel 58"/>
    <w:qFormat/>
    <w:rPr>
      <w:rFonts w:ascii="Times New Roman" w:hAnsi="Times New Roman" w:cs="Symbol"/>
      <w:sz w:val="22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Wingdings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Wingdings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Wingdings"/>
    </w:rPr>
  </w:style>
  <w:style w:type="character" w:styleId="ListLabel67">
    <w:name w:val="ListLabel 67"/>
    <w:qFormat/>
    <w:rPr>
      <w:rFonts w:cs="Symbol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Wingdings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Wingdings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Wingdings"/>
    </w:rPr>
  </w:style>
  <w:style w:type="character" w:styleId="ListLabel76">
    <w:name w:val="ListLabel 76"/>
    <w:qFormat/>
    <w:rPr>
      <w:rFonts w:ascii="Times New Roman" w:hAnsi="Times New Roman" w:cs="Symbol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Wingdings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Wingdings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Wingdings"/>
    </w:rPr>
  </w:style>
  <w:style w:type="character" w:styleId="ListLabel85">
    <w:name w:val="ListLabel 85"/>
    <w:qFormat/>
    <w:rPr>
      <w:rFonts w:ascii="Times New Roman" w:hAnsi="Times New Roman" w:cs="Symbol"/>
      <w:sz w:val="22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Wingdings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Wingdings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Wingdings"/>
    </w:rPr>
  </w:style>
  <w:style w:type="character" w:styleId="ListLabel94">
    <w:name w:val="ListLabel 94"/>
    <w:qFormat/>
    <w:rPr>
      <w:rFonts w:cs="Symbol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Wingdings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Wingdings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Wingdings"/>
    </w:rPr>
  </w:style>
  <w:style w:type="character" w:styleId="ListLabel103">
    <w:name w:val="ListLabel 103"/>
    <w:qFormat/>
    <w:rPr>
      <w:rFonts w:ascii="Times New Roman" w:hAnsi="Times New Roman" w:cs="Symbol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Wingdings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Wingdings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ascii="Times New Roman" w:hAnsi="Times New Roman" w:cs="Symbol"/>
      <w:sz w:val="22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Courier New"/>
    </w:rPr>
  </w:style>
  <w:style w:type="character" w:styleId="ListLabel120">
    <w:name w:val="ListLabel 120"/>
    <w:qFormat/>
    <w:rPr>
      <w:rFonts w:cs="Wingdings"/>
    </w:rPr>
  </w:style>
  <w:style w:type="character" w:styleId="ListLabel121">
    <w:name w:val="ListLabel 121"/>
    <w:qFormat/>
    <w:rPr>
      <w:rFonts w:cs="Symbol"/>
    </w:rPr>
  </w:style>
  <w:style w:type="character" w:styleId="ListLabel122">
    <w:name w:val="ListLabel 122"/>
    <w:qFormat/>
    <w:rPr>
      <w:rFonts w:cs="Courier New"/>
    </w:rPr>
  </w:style>
  <w:style w:type="character" w:styleId="ListLabel123">
    <w:name w:val="ListLabel 123"/>
    <w:qFormat/>
    <w:rPr>
      <w:rFonts w:cs="Wingdings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Courier New"/>
    </w:rPr>
  </w:style>
  <w:style w:type="character" w:styleId="ListLabel126">
    <w:name w:val="ListLabel 126"/>
    <w:qFormat/>
    <w:rPr>
      <w:rFonts w:cs="Wingdings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Courier New"/>
    </w:rPr>
  </w:style>
  <w:style w:type="character" w:styleId="ListLabel129">
    <w:name w:val="ListLabel 129"/>
    <w:qFormat/>
    <w:rPr>
      <w:rFonts w:cs="Wingdings"/>
    </w:rPr>
  </w:style>
  <w:style w:type="character" w:styleId="ListLabel130">
    <w:name w:val="ListLabel 130"/>
    <w:qFormat/>
    <w:rPr>
      <w:rFonts w:ascii="Times New Roman" w:hAnsi="Times New Roman" w:cs="Symbol"/>
    </w:rPr>
  </w:style>
  <w:style w:type="character" w:styleId="ListLabel131">
    <w:name w:val="ListLabel 131"/>
    <w:qFormat/>
    <w:rPr>
      <w:rFonts w:cs="Courier New"/>
    </w:rPr>
  </w:style>
  <w:style w:type="character" w:styleId="ListLabel132">
    <w:name w:val="ListLabel 132"/>
    <w:qFormat/>
    <w:rPr>
      <w:rFonts w:cs="Wingdings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Courier New"/>
    </w:rPr>
  </w:style>
  <w:style w:type="character" w:styleId="ListLabel135">
    <w:name w:val="ListLabel 135"/>
    <w:qFormat/>
    <w:rPr>
      <w:rFonts w:cs="Wingdings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Courier New"/>
    </w:rPr>
  </w:style>
  <w:style w:type="character" w:styleId="ListLabel138">
    <w:name w:val="ListLabel 138"/>
    <w:qFormat/>
    <w:rPr>
      <w:rFonts w:cs="Wingdings"/>
    </w:rPr>
  </w:style>
  <w:style w:type="character" w:styleId="ListLabel139">
    <w:name w:val="ListLabel 139"/>
    <w:qFormat/>
    <w:rPr>
      <w:rFonts w:ascii="Times New Roman" w:hAnsi="Times New Roman" w:cs="Symbol"/>
      <w:sz w:val="22"/>
    </w:rPr>
  </w:style>
  <w:style w:type="character" w:styleId="ListLabel140">
    <w:name w:val="ListLabel 140"/>
    <w:qFormat/>
    <w:rPr>
      <w:rFonts w:cs="Courier New"/>
    </w:rPr>
  </w:style>
  <w:style w:type="character" w:styleId="ListLabel141">
    <w:name w:val="ListLabel 141"/>
    <w:qFormat/>
    <w:rPr>
      <w:rFonts w:cs="Wingdings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Courier New"/>
    </w:rPr>
  </w:style>
  <w:style w:type="character" w:styleId="ListLabel144">
    <w:name w:val="ListLabel 144"/>
    <w:qFormat/>
    <w:rPr>
      <w:rFonts w:cs="Wingdings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Courier New"/>
    </w:rPr>
  </w:style>
  <w:style w:type="character" w:styleId="ListLabel147">
    <w:name w:val="ListLabel 147"/>
    <w:qFormat/>
    <w:rPr>
      <w:rFonts w:cs="Wingdings"/>
    </w:rPr>
  </w:style>
  <w:style w:type="character" w:styleId="ListLabel148">
    <w:name w:val="ListLabel 148"/>
    <w:qFormat/>
    <w:rPr>
      <w:rFonts w:cs="Symbol"/>
    </w:rPr>
  </w:style>
  <w:style w:type="character" w:styleId="ListLabel149">
    <w:name w:val="ListLabel 149"/>
    <w:qFormat/>
    <w:rPr>
      <w:rFonts w:cs="Courier New"/>
    </w:rPr>
  </w:style>
  <w:style w:type="character" w:styleId="ListLabel150">
    <w:name w:val="ListLabel 150"/>
    <w:qFormat/>
    <w:rPr>
      <w:rFonts w:cs="Wingdings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Courier New"/>
    </w:rPr>
  </w:style>
  <w:style w:type="character" w:styleId="ListLabel153">
    <w:name w:val="ListLabel 153"/>
    <w:qFormat/>
    <w:rPr>
      <w:rFonts w:cs="Wingdings"/>
    </w:rPr>
  </w:style>
  <w:style w:type="character" w:styleId="ListLabel154">
    <w:name w:val="ListLabel 154"/>
    <w:qFormat/>
    <w:rPr>
      <w:rFonts w:cs="Symbol"/>
    </w:rPr>
  </w:style>
  <w:style w:type="character" w:styleId="ListLabel155">
    <w:name w:val="ListLabel 155"/>
    <w:qFormat/>
    <w:rPr>
      <w:rFonts w:cs="Courier New"/>
    </w:rPr>
  </w:style>
  <w:style w:type="character" w:styleId="ListLabel156">
    <w:name w:val="ListLabel 156"/>
    <w:qFormat/>
    <w:rPr>
      <w:rFonts w:cs="Wingdings"/>
    </w:rPr>
  </w:style>
  <w:style w:type="character" w:styleId="ListLabel157">
    <w:name w:val="ListLabel 157"/>
    <w:qFormat/>
    <w:rPr>
      <w:rFonts w:cs="Symbol"/>
    </w:rPr>
  </w:style>
  <w:style w:type="character" w:styleId="ListLabel158">
    <w:name w:val="ListLabel 158"/>
    <w:qFormat/>
    <w:rPr>
      <w:rFonts w:cs="Courier New"/>
    </w:rPr>
  </w:style>
  <w:style w:type="character" w:styleId="ListLabel159">
    <w:name w:val="ListLabel 159"/>
    <w:qFormat/>
    <w:rPr>
      <w:rFonts w:cs="Wingdings"/>
    </w:rPr>
  </w:style>
  <w:style w:type="character" w:styleId="ListLabel160">
    <w:name w:val="ListLabel 160"/>
    <w:qFormat/>
    <w:rPr>
      <w:rFonts w:cs="Symbol"/>
    </w:rPr>
  </w:style>
  <w:style w:type="character" w:styleId="ListLabel161">
    <w:name w:val="ListLabel 161"/>
    <w:qFormat/>
    <w:rPr>
      <w:rFonts w:cs="Courier New"/>
    </w:rPr>
  </w:style>
  <w:style w:type="character" w:styleId="ListLabel162">
    <w:name w:val="ListLabel 162"/>
    <w:qFormat/>
    <w:rPr>
      <w:rFonts w:cs="Wingdings"/>
    </w:rPr>
  </w:style>
  <w:style w:type="character" w:styleId="ListLabel163">
    <w:name w:val="ListLabel 163"/>
    <w:qFormat/>
    <w:rPr>
      <w:rFonts w:cs="Symbol"/>
    </w:rPr>
  </w:style>
  <w:style w:type="character" w:styleId="ListLabel164">
    <w:name w:val="ListLabel 164"/>
    <w:qFormat/>
    <w:rPr>
      <w:rFonts w:cs="Courier New"/>
    </w:rPr>
  </w:style>
  <w:style w:type="character" w:styleId="ListLabel165">
    <w:name w:val="ListLabel 165"/>
    <w:qFormat/>
    <w:rPr>
      <w:rFonts w:cs="Wingdings"/>
    </w:rPr>
  </w:style>
  <w:style w:type="character" w:styleId="ListLabel166">
    <w:name w:val="ListLabel 166"/>
    <w:qFormat/>
    <w:rPr>
      <w:rFonts w:cs="Symbol"/>
      <w:sz w:val="22"/>
    </w:rPr>
  </w:style>
  <w:style w:type="character" w:styleId="ListLabel167">
    <w:name w:val="ListLabel 167"/>
    <w:qFormat/>
    <w:rPr>
      <w:rFonts w:cs="Courier New"/>
    </w:rPr>
  </w:style>
  <w:style w:type="character" w:styleId="ListLabel168">
    <w:name w:val="ListLabel 168"/>
    <w:qFormat/>
    <w:rPr>
      <w:rFonts w:cs="Wingdings"/>
    </w:rPr>
  </w:style>
  <w:style w:type="character" w:styleId="ListLabel169">
    <w:name w:val="ListLabel 169"/>
    <w:qFormat/>
    <w:rPr>
      <w:rFonts w:cs="Symbol"/>
    </w:rPr>
  </w:style>
  <w:style w:type="character" w:styleId="ListLabel170">
    <w:name w:val="ListLabel 170"/>
    <w:qFormat/>
    <w:rPr>
      <w:rFonts w:cs="Courier New"/>
    </w:rPr>
  </w:style>
  <w:style w:type="character" w:styleId="ListLabel171">
    <w:name w:val="ListLabel 171"/>
    <w:qFormat/>
    <w:rPr>
      <w:rFonts w:cs="Wingdings"/>
    </w:rPr>
  </w:style>
  <w:style w:type="character" w:styleId="ListLabel172">
    <w:name w:val="ListLabel 172"/>
    <w:qFormat/>
    <w:rPr>
      <w:rFonts w:cs="Symbol"/>
    </w:rPr>
  </w:style>
  <w:style w:type="character" w:styleId="ListLabel173">
    <w:name w:val="ListLabel 173"/>
    <w:qFormat/>
    <w:rPr>
      <w:rFonts w:cs="Courier New"/>
    </w:rPr>
  </w:style>
  <w:style w:type="character" w:styleId="ListLabel174">
    <w:name w:val="ListLabel 174"/>
    <w:qFormat/>
    <w:rPr>
      <w:rFonts w:cs="Wingdings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Style20">
    <w:name w:val="Endnote Text"/>
    <w:basedOn w:val="Normal"/>
    <w:pPr>
      <w:suppressLineNumbers/>
      <w:ind w:left="339" w:hanging="339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Application>LibreOffice/6.1.1.2$Windows_X86_64 LibreOffice_project/5d19a1bfa650b796764388cd8b33a5af1f5baa1b</Application>
  <Pages>5</Pages>
  <Words>1149</Words>
  <Characters>9396</Characters>
  <CharactersWithSpaces>10467</CharactersWithSpaces>
  <Paragraphs>146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2018-07-20T06:26:00Z</dcterms:created>
  <dc:creator>Артемьева Елена Юрьевна</dc:creator>
  <dc:description/>
  <dc:language>ru-RU</dc:language>
  <cp:lastModifiedBy/>
  <dcterms:modified xsi:type="dcterms:W3CDTF">2018-11-19T10:28:05Z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