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1"/>
        <w:shd w:val="clear" w:fill="FFFFFF"/>
        <w:spacing w:lineRule="auto" w:line="240" w:before="0" w:after="0"/>
        <w:ind w:firstLine="426"/>
        <w:jc w:val="right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МОДЕЛЬ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rStyle w:val="11"/>
          <w:b/>
          <w:sz w:val="24"/>
          <w:szCs w:val="24"/>
        </w:rPr>
        <w:t xml:space="preserve">ПРОФИЛЬ ДОЛЖНОСТИ 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«Специалисты» группа «Главная»</w:t>
      </w:r>
    </w:p>
    <w:p>
      <w:pPr>
        <w:pStyle w:val="111"/>
        <w:shd w:val="clear" w:fill="FFFFFF"/>
        <w:spacing w:lineRule="auto" w:line="240" w:before="0" w:after="0"/>
        <w:ind w:firstLine="426"/>
        <w:rPr>
          <w:rStyle w:val="11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0348" w:type="dxa"/>
        <w:jc w:val="left"/>
        <w:tblInd w:w="-6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3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4820"/>
        <w:gridCol w:w="5527"/>
      </w:tblGrid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rStyle w:val="11"/>
                <w:b/>
                <w:b/>
                <w:sz w:val="22"/>
                <w:szCs w:val="22"/>
              </w:rPr>
            </w:pPr>
            <w:r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  <w:vAlign w:val="center"/>
          </w:tcPr>
          <w:p>
            <w:pPr>
              <w:pStyle w:val="111"/>
              <w:shd w:val="clear" w:fill="FFFFFF"/>
              <w:spacing w:lineRule="auto" w:line="240" w:before="0" w:after="0"/>
              <w:ind w:left="-36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extAlignment w:val="baseline"/>
              <w:rPr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ind w:left="54" w:right="14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Консультант отдела отраслевых секторов промышленности Управления промышленной политики Департамента промышленности Ханты-Мансийского автономного округа – Югры 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ind w:left="54" w:right="14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Регулирование промышленности</w:t>
            </w:r>
          </w:p>
        </w:tc>
      </w:tr>
      <w:tr>
        <w:trPr/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111"/>
              <w:shd w:val="clear" w:color="auto" w:fill="auto"/>
              <w:spacing w:lineRule="auto" w:line="240" w:before="0" w:after="0"/>
              <w:jc w:val="left"/>
              <w:rPr>
                <w:rStyle w:val="11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выработка и реализация государственной промышленной политики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нормативное правовое регулирование в сфере обрабатывающей промышленности;</w:t>
            </w:r>
          </w:p>
          <w:p>
            <w:pPr>
              <w:pStyle w:val="Normal"/>
              <w:ind w:left="-15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инвестиционное планирование и контроль реализации инвестиционных программ в установленной сфере деятельности.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Подчиняется начальнику отдела отраслевых секторов промышленности Управления промышленной политики Департамента промышленности Ханты-Мансийского автономного округа – Югры, 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Продолжительность и режим работы: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мужчин - 40 часов в неделю,  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женщин - 36 часов в неделю,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выходные дни - суббота и воскресенье,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ненормированный рабочий день.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должности (кратко)</w:t>
            </w:r>
          </w:p>
          <w:p>
            <w:pPr>
              <w:pStyle w:val="Normal"/>
              <w:textAlignment w:val="baseline"/>
              <w:rPr>
                <w:b/>
                <w:b/>
                <w:bCs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Осуществляет: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формирование и ведение реестра предприятий обрабатывающей промышленности автономного округа;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проведение анализа результатов финансово-хозяйственной деятельности организаций обрабатывающих отраслей промышленности, итогов деятельности отрасли, подготовку аналитических записок;</w:t>
              <w:br/>
              <w:t>- подготовку прогнозов развития обрабатывающих отраслей промышленности на основании анализа текущего состояния (мониторинг) и перспектив развития отрасли;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взаимодействие с организациями, реализующими свою деятельность по направлению, отнесенному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 по вопросам, относящимся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подготовку аналитических материалов, информационных справок, презентаций по вопросам, отнесённым к компетенции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ведение статистического учета и предоставление статистической отчетности в уполномоченные органы в соо</w:t>
            </w:r>
            <w:bookmarkStart w:id="0" w:name="sub_31"/>
            <w:r>
              <w:rPr>
                <w:rFonts w:eastAsia="Calibri"/>
                <w:sz w:val="22"/>
                <w:szCs w:val="22"/>
                <w:lang w:eastAsia="en-US"/>
              </w:rPr>
              <w:t>тветствии с компетенцией отдела;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ведение в установленном порядке делопроизводства, работу по формированию исполненных документов в дела в соответствие с утвержденной номенклатурой дел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исполнение поручений начальника Отдела.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Участвует совместно с подразделениями Департамента: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подготовке ежегодных докладов о результатах и основных направлениях деятельности Департамента</w:t>
            </w:r>
            <w:bookmarkStart w:id="1" w:name="sub_45"/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  <w:bookmarkStart w:id="2" w:name="sub_51"/>
            <w:bookmarkEnd w:id="1"/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организации и контроле реализации законодательства Российской Федерации и автономного округа в сфере развития промышленности</w:t>
            </w:r>
            <w:bookmarkStart w:id="3" w:name="sub_53"/>
            <w:bookmarkEnd w:id="2"/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в подготовке предложений по вопросам утверждения </w:t>
            </w:r>
            <w:hyperlink r:id="rId2">
              <w:r>
                <w:rPr>
                  <w:rStyle w:val="ListLabel104"/>
                  <w:rFonts w:eastAsia="Calibri"/>
                  <w:sz w:val="22"/>
                  <w:szCs w:val="22"/>
                  <w:lang w:eastAsia="en-US"/>
                </w:rPr>
                <w:t>служебного распорядка</w:t>
              </w:r>
            </w:hyperlink>
            <w:r>
              <w:rPr>
                <w:rFonts w:eastAsia="Calibri"/>
                <w:sz w:val="22"/>
                <w:szCs w:val="22"/>
                <w:lang w:eastAsia="en-US"/>
              </w:rPr>
              <w:t>, административных, должностных и других регламентов Департамента</w:t>
            </w:r>
            <w:bookmarkEnd w:id="3"/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в размещении на официальных органах исполнительной власти автономного округа в информационно-телекоммуникационной сети «Интернет» информации, связанной с развитием промышленности в автономном округе; 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 в разработке проектов нормативных правовых актов автономного округа в сфере деятельности отдела;</w:t>
            </w:r>
          </w:p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работе коллегиальных органов (комиссий, коллегий, советов, рабочих групп);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выставках, семинарах, совещаниях, конференциях;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в выполнении иных функций, предусмотренных законодательством Российской Федерации, актами нормативного и ненормативного характера Департамента, поручениями директора Департамента.</w:t>
            </w:r>
            <w:bookmarkEnd w:id="0"/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Анализирует: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практику применения действующего законодательства Российской Федерации и законодательства автономного </w:t>
              <w:br/>
              <w:t>округа в сфере обрабатывающих отраслей промышленности;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статистические и отчетные данные о результатах деятельности организаций в обрабатывающих секторах промышленности автономного округа и субъектов российской Федерации.</w:t>
            </w:r>
          </w:p>
        </w:tc>
      </w:tr>
      <w:tr>
        <w:trPr>
          <w:trHeight w:val="375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Работа подразумевает: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работу с документами;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оказание государственных услуг;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внутреннее взаимодействие;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другое_____________________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(выбрать)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документами;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внешние коммуникации (с гражданами, предприятиями и организациями, общественностью, федеральными и муниципальными органами государственной власти);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 взаимодействие (между структурными подразделениями Департамента)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Образование кандидата: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уровень образования;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направление (при необходимости)</w:t>
            </w:r>
          </w:p>
          <w:p>
            <w:pPr>
              <w:pStyle w:val="Normal"/>
              <w:ind w:left="36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специальность (при необходимости)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Высшее образование - специалитет, магистратура </w:t>
            </w:r>
          </w:p>
          <w:p>
            <w:pPr>
              <w:pStyle w:val="Normal"/>
              <w:ind w:left="54" w:right="144" w:hanging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по направлениям подготовки (специальности(-ям) профессионального образования: </w:t>
            </w:r>
            <w:r>
              <w:rPr>
                <w:rFonts w:eastAsia="Calibri"/>
                <w:sz w:val="22"/>
                <w:szCs w:val="22"/>
                <w:lang w:eastAsia="ru-RU"/>
              </w:rPr>
              <w:t xml:space="preserve">«Государственное и муниципальное управление», «Экономика и управление на предприятии» </w:t>
            </w:r>
            <w:r>
              <w:rPr>
                <w:rFonts w:eastAsia="Calibri"/>
                <w:sz w:val="22"/>
                <w:szCs w:val="22"/>
                <w:lang w:eastAsia="en-US"/>
              </w:rPr>
      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Стаж работы: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 специальности;</w:t>
            </w:r>
          </w:p>
          <w:p>
            <w:pPr>
              <w:pStyle w:val="Normal"/>
              <w:ind w:left="397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государственной службы;</w:t>
            </w:r>
          </w:p>
          <w:p>
            <w:pPr>
              <w:pStyle w:val="Normal"/>
              <w:ind w:left="397" w:hanging="0"/>
              <w:rPr>
                <w:rFonts w:ascii="Segoe UI" w:hAnsi="Segoe UI" w:cs="Segoe UI"/>
                <w:b/>
                <w:b/>
                <w:i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</w:rPr>
              <w:t>управленческий стаж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Наличие стажа государственной службы или стажа работы по специальности, направлению подготовки не менее двух лет.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Опыт работы в сфере __________ (указать)</w:t>
            </w:r>
          </w:p>
          <w:p>
            <w:pPr>
              <w:pStyle w:val="ListParagraph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__ лет.</w:t>
            </w:r>
          </w:p>
        </w:tc>
      </w:tr>
      <w:tr>
        <w:trPr>
          <w:trHeight w:val="307" w:hRule="atLeast"/>
        </w:trPr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55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своевременность исполнения поручений начальника отдела;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в короткие сроки выполнять определённый объем работы;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подготовка документов в соответствии с установленными требованиями, полное и логическое изложение материалов, юридически грамотное составление документов, отсутствие стилистических </w:t>
              <w:br/>
              <w:t>и грамматических ошибок;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активность и инициативность в освоении новых компьютерных и информационных технологий;</w:t>
            </w:r>
          </w:p>
          <w:p>
            <w:pPr>
              <w:pStyle w:val="Normal"/>
              <w:tabs>
                <w:tab w:val="clear" w:pos="708"/>
                <w:tab w:val="left" w:pos="227" w:leader="none"/>
              </w:tabs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способность быстро адаптироваться </w:t>
              <w:br/>
              <w:t>к новым условиям и требованиям, способность к получению новых профессиональных знаний и навыков;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 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службе, соблюдение требований служебного распорядка Департамента, Кодекса этики и служебного поведения государственных гражданских служащих автономного округа;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соблюдение установленных законодательством сроков рассмотрения поступивших обращений граждан;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удовлетворенность полнотой и актуальностью предоставленной информации при рассмотрении поступивших обращений;</w:t>
            </w:r>
          </w:p>
          <w:p>
            <w:pPr>
              <w:pStyle w:val="Normal"/>
              <w:ind w:left="54" w:right="144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выполнения плана мероприятий отдела, Управления, Департамента в установленной сфере деятельности;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организации труда: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производительность (выполняемый объем работы);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результативность (меры достижения поставленных целей);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интенсивность (способность в короткие сроки выполнять определенный объем работы).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Профессионализм: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профессиональная компетентность (знание законодательных, нормативных правовых актов, широта профессионального кругозора, умение работать с документами);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выполнять должностные функции самостоятельно;</w:t>
            </w:r>
          </w:p>
          <w:p>
            <w:pPr>
              <w:pStyle w:val="Normal"/>
              <w:suppressAutoHyphens w:val="false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приоритеты.</w:t>
            </w:r>
          </w:p>
        </w:tc>
      </w:tr>
    </w:tbl>
    <w:p>
      <w:pPr>
        <w:pStyle w:val="Normal"/>
        <w:textAlignment w:val="baseline"/>
        <w:rPr>
          <w:rFonts w:ascii="Calibri" w:hAnsi="Calibri" w:cs="Segoe UI"/>
          <w:sz w:val="22"/>
          <w:szCs w:val="22"/>
          <w:lang w:eastAsia="ru-RU"/>
        </w:rPr>
      </w:pPr>
      <w:r>
        <w:rPr>
          <w:rFonts w:cs="Segoe UI" w:ascii="Calibri" w:hAnsi="Calibri"/>
          <w:sz w:val="22"/>
          <w:szCs w:val="22"/>
          <w:lang w:eastAsia="ru-RU"/>
        </w:rPr>
      </w:r>
    </w:p>
    <w:p>
      <w:pPr>
        <w:pStyle w:val="Normal"/>
        <w:textAlignment w:val="baseline"/>
        <w:rPr>
          <w:b/>
          <w:b/>
          <w:i/>
          <w:i/>
        </w:rPr>
      </w:pPr>
      <w:r>
        <w:rPr>
          <w:b/>
          <w:i/>
        </w:rPr>
        <w:t>Требования к знаниям и умениям (кратко):</w:t>
      </w:r>
    </w:p>
    <w:p>
      <w:pPr>
        <w:pStyle w:val="Normal"/>
        <w:textAlignment w:val="baseline"/>
        <w:rPr>
          <w:rFonts w:ascii="Calibri" w:hAnsi="Calibri" w:cs="Segoe UI"/>
          <w:lang w:eastAsia="ru-RU"/>
        </w:rPr>
      </w:pPr>
      <w:r>
        <w:rPr>
          <w:rFonts w:cs="Segoe UI" w:ascii="Calibri" w:hAnsi="Calibri"/>
          <w:lang w:eastAsia="ru-RU"/>
        </w:rPr>
      </w:r>
    </w:p>
    <w:tbl>
      <w:tblPr>
        <w:tblW w:w="10380" w:type="dxa"/>
        <w:jc w:val="lef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9"/>
        <w:gridCol w:w="8110"/>
      </w:tblGrid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Знания и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textAlignment w:val="baseline"/>
              <w:rPr>
                <w:rFonts w:eastAsia="Calibri"/>
                <w:b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Знание правовых основ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  <w:u w:val="single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>Наличие знаний: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конституционных прав и свобод гражданина Российской Федерации;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правового положения (статуса) государственного гражданского служащего;</w:t>
            </w:r>
          </w:p>
          <w:p>
            <w:pPr>
              <w:pStyle w:val="Normal"/>
              <w:jc w:val="both"/>
              <w:textAlignment w:val="baseline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 межведомственного взаимодействия;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ListParagraph"/>
              <w:numPr>
                <w:ilvl w:val="0"/>
                <w:numId w:val="1"/>
              </w:numPr>
              <w:ind w:left="317" w:hanging="283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ind w:left="317" w:hanging="283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другими.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Знания и умения в области проектного управления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Знания в области проектного управления, установленные разделами I, II, III Перечня обязательных требований к профессиональным знаниям и умениям, предъявляемым к государственным гражданским служащим автономного округа, участвующим в управлении проектной деятельностью, утвержденного совместным приказом Департамента государственной гражданской службы и кадровой политики автономного округа и Департамента проектного управления автономного округа от 01.12.2016 №126/29.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22"/>
                <w:szCs w:val="22"/>
                <w:u w:val="single"/>
              </w:rPr>
              <w:t>Общие умения</w:t>
            </w:r>
            <w:r>
              <w:rPr>
                <w:sz w:val="22"/>
                <w:szCs w:val="22"/>
              </w:rPr>
              <w:t>: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Doc3"/>
              <w:numPr>
                <w:ilvl w:val="0"/>
                <w:numId w:val="0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753" w:hanging="0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умение мыслить стратегически (системно);</w:t>
            </w:r>
          </w:p>
          <w:p>
            <w:pPr>
              <w:pStyle w:val="Doc3"/>
              <w:numPr>
                <w:ilvl w:val="0"/>
                <w:numId w:val="0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/>
              <w:ind w:left="753" w:hanging="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- 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uppressAutoHyphens w:val="false"/>
              <w:spacing w:lineRule="auto" w:line="276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коммуникативные умения;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uppressAutoHyphens w:val="false"/>
              <w:spacing w:lineRule="auto" w:line="276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умение работать в стрессовых условиях;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uppressAutoHyphens w:val="false"/>
              <w:spacing w:lineRule="auto" w:line="276"/>
              <w:ind w:hanging="0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- умение совершенствовать свой профессиональный уровень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>
            <w:pPr>
              <w:pStyle w:val="ListParagraph"/>
              <w:numPr>
                <w:ilvl w:val="0"/>
                <w:numId w:val="0"/>
              </w:numPr>
              <w:tabs>
                <w:tab w:val="clear" w:pos="708"/>
                <w:tab w:val="left" w:pos="317" w:leader="none"/>
                <w:tab w:val="left" w:pos="993" w:leader="none"/>
              </w:tabs>
              <w:suppressAutoHyphens w:val="false"/>
              <w:ind w:left="753" w:hanging="0"/>
              <w:rPr/>
            </w:pPr>
            <w:r>
              <w:rPr>
                <w:bCs/>
                <w:sz w:val="22"/>
                <w:szCs w:val="22"/>
              </w:rPr>
              <w:t xml:space="preserve">- умение </w:t>
            </w:r>
            <w:r>
              <w:rPr>
                <w:sz w:val="22"/>
                <w:szCs w:val="22"/>
              </w:rPr>
              <w:t>управлять изменениями.</w:t>
            </w:r>
          </w:p>
        </w:tc>
      </w:tr>
      <w:tr>
        <w:trPr>
          <w:trHeight w:val="507" w:hRule="atLeast"/>
        </w:trPr>
        <w:tc>
          <w:tcPr>
            <w:tcW w:w="10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uppressAutoHyphens w:val="false"/>
              <w:ind w:left="0" w:hanging="0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П</w:t>
            </w:r>
            <w:r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рофессиональные знания и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false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Наличие знаний: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законодательства Российской Федерации и автономного округа в сфере обрабатывающей промышленности;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/>
              <w:t>приоритетов государственной политики в области развития обрабатывающей промышленности;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 требований в сфере подготовки правовых и нормативных правовых актов автономного округа, регулирующих вопросы в установленной сфере деятельности.</w:t>
            </w:r>
          </w:p>
          <w:p>
            <w:pPr>
              <w:pStyle w:val="ListParagraph"/>
              <w:numPr>
                <w:ilvl w:val="0"/>
                <w:numId w:val="0"/>
              </w:numPr>
              <w:tabs>
                <w:tab w:val="clear" w:pos="708"/>
                <w:tab w:val="left" w:pos="312" w:leader="none"/>
              </w:tabs>
              <w:suppressAutoHyphens w:val="false"/>
              <w:ind w:left="0" w:hanging="0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Normal"/>
              <w:suppressAutoHyphens w:val="false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Наличие умений: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организация личного труда, в том числе, планирования служебного времени;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организация и планирование деятельности отдела;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владение современными средствами и методами работы с информацией;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работа с информационно-телекоммуникационными сетями, в том числе сетью Интернет;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использование справочно-правовых систем;</w:t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работа с внутренними и периферийными устройствами компьютера (принтер, сканер, многофункциональное устройство и т.д.);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работа с правовыми актами и иными документами;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системного анализа действующего законодательства и правоприменительной практики в установленной сфере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подготовка служебных писем, включая ответы на обращения государственных органов, граждан и организаций в установленные сроки;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" w:leader="none"/>
              </w:tabs>
              <w:suppressAutoHyphens w:val="false"/>
              <w:spacing w:lineRule="auto" w:line="276"/>
              <w:jc w:val="both"/>
              <w:textAlignment w:val="baseline"/>
              <w:rPr>
                <w:rFonts w:eastAsia="Cambria"/>
                <w:sz w:val="22"/>
                <w:szCs w:val="22"/>
                <w:lang w:eastAsia="ru-RU"/>
              </w:rPr>
            </w:pPr>
            <w:r>
              <w:rPr>
                <w:rFonts w:eastAsia="Cambria"/>
                <w:sz w:val="22"/>
                <w:szCs w:val="22"/>
                <w:lang w:eastAsia="ru-RU"/>
              </w:rPr>
              <w:t>- планирования и координации проектов от стадии инициирования до стадии завершения;</w:t>
            </w:r>
          </w:p>
          <w:p>
            <w:pPr>
              <w:pStyle w:val="Normal"/>
              <w:suppressAutoHyphens w:val="false"/>
              <w:spacing w:lineRule="auto" w:line="276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- работа в автоматизированных системах.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Функциональные знания и умения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lineRule="auto" w:line="240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>
            <w:pPr>
              <w:pStyle w:val="Normal"/>
              <w:suppressAutoHyphens w:val="false"/>
              <w:spacing w:lineRule="auto" w:line="240"/>
              <w:jc w:val="both"/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понятие нормы права и ее признаки;</w:t>
            </w:r>
          </w:p>
          <w:p>
            <w:pPr>
              <w:pStyle w:val="NoSpacing"/>
              <w:spacing w:lineRule="auto" w:line="240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- понятие проекта нормативного правового акта, правоотношений и их признаки;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понятие официального отзыва на проекты нормативно-правовых актов: этапы, ключевые принципы и технологии разработки; 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понятие, процедура рассмотрения обращений граждан;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принципы, методы, технологии и механизмы осуществления контроля (надзора);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процедура организации проверки: порядок, этапы, инструменты проведения.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и методы реализации государственной промышленной политики;</w:t>
            </w:r>
          </w:p>
          <w:p>
            <w:pPr>
              <w:pStyle w:val="NoSpacing"/>
              <w:spacing w:lineRule="auto" w:line="240"/>
              <w:jc w:val="both"/>
              <w:rPr/>
            </w:pPr>
            <w:r>
              <w:rPr>
                <w:rFonts w:eastAsia="Calibri"/>
                <w:sz w:val="22"/>
                <w:szCs w:val="22"/>
                <w:lang w:eastAsia="en-US"/>
              </w:rPr>
              <w:t>- принципы формирования и оценки эффективности деятельности в сфере развития обрабатывающей промышленности.</w:t>
            </w:r>
          </w:p>
          <w:p>
            <w:pPr>
              <w:pStyle w:val="NoSpacing"/>
              <w:spacing w:lineRule="auto" w:line="2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/>
              <w:ind w:left="33" w:hanging="0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u w:val="single"/>
                <w:lang w:eastAsia="en-US"/>
              </w:rPr>
              <w:t>Функциональные умения</w:t>
            </w:r>
            <w:r>
              <w:rPr>
                <w:rFonts w:eastAsia="Calibri" w:eastAsiaTheme="minorHAnsi"/>
                <w:sz w:val="22"/>
                <w:szCs w:val="22"/>
                <w:lang w:eastAsia="en-US"/>
              </w:rPr>
              <w:t xml:space="preserve">: 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sz w:val="22"/>
                <w:szCs w:val="22"/>
              </w:rPr>
              <w:t>- разработка, рассмотрение и согласование проектов нормативных правовых актов автономного округа и других документов по направлению деятельности отдела;</w:t>
            </w:r>
          </w:p>
          <w:p>
            <w:pPr>
              <w:pStyle w:val="Normal"/>
              <w:suppressAutoHyphens w:val="false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практического применения правовых и нормативных правовых актов Российской Федерации и автономного округа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проектов решений Департамента по вопросам, относящимся к компетенции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предложений по выработке управленческих решений в сфере, соответствующей направлению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методических рекомендаций, разъяснений;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подготовка аналитических, информационных и других материалов;</w:t>
            </w:r>
          </w:p>
          <w:p>
            <w:pPr>
              <w:pStyle w:val="Normal"/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jc w:val="both"/>
              <w:rPr/>
            </w:pPr>
            <w:r>
              <w:rPr>
                <w:rFonts w:eastAsia="Calibri" w:eastAsiaTheme="minorHAnsi"/>
                <w:sz w:val="22"/>
                <w:szCs w:val="22"/>
                <w:lang w:eastAsia="en-US"/>
              </w:rPr>
              <w:t>- консультационная помощь физическим и юридическим лицам по вопросам, отнесенным к компетенции отдела.</w:t>
            </w:r>
          </w:p>
        </w:tc>
      </w:tr>
      <w:tr>
        <w:trPr>
          <w:trHeight w:val="505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-427" w:hanging="0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color w:val="000000"/>
                <w:sz w:val="22"/>
                <w:szCs w:val="22"/>
                <w:shd w:fill="FFFFFF" w:val="clear"/>
              </w:rPr>
              <w:t>Профессиональные качества</w:t>
            </w:r>
          </w:p>
          <w:p>
            <w:pPr>
              <w:pStyle w:val="Normal"/>
              <w:rPr>
                <w:rFonts w:eastAsia="Calibri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ориентация на достижение результата;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 понимание, стиль общения, соответствующий ситуации;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сбор и анализ информации;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подготовка документов в соответствии с требованиями;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саморазвитие;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межличностное, межведомственное взаимодействие, убедительность коммуникаций;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работа в команде; 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 стратегическое видение/мышление;</w:t>
            </w:r>
          </w:p>
          <w:p>
            <w:pPr>
              <w:pStyle w:val="ListParagraph"/>
              <w:tabs>
                <w:tab w:val="clear" w:pos="708"/>
                <w:tab w:val="left" w:pos="33" w:leader="none"/>
              </w:tabs>
              <w:suppressAutoHyphens w:val="false"/>
              <w:ind w:left="33" w:hanging="0"/>
              <w:jc w:val="both"/>
              <w:rPr/>
            </w:pPr>
            <w:r>
              <w:rPr>
                <w:rFonts w:eastAsia="Calibri"/>
                <w:sz w:val="22"/>
                <w:szCs w:val="22"/>
              </w:rPr>
              <w:t>- творческий подход, инновационность</w:t>
            </w:r>
            <w:r>
              <w:rPr>
                <w:rFonts w:eastAsia="Calibri"/>
                <w:sz w:val="22"/>
                <w:szCs w:val="22"/>
                <w:u w:val="single"/>
              </w:rPr>
              <w:t>.</w:t>
            </w:r>
          </w:p>
        </w:tc>
      </w:tr>
      <w:tr>
        <w:trPr>
          <w:trHeight w:val="1412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7" w:hanging="0"/>
              <w:jc w:val="both"/>
              <w:rPr>
                <w:b/>
                <w:b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i/>
                <w:sz w:val="22"/>
                <w:szCs w:val="22"/>
                <w:lang w:eastAsia="ru-RU"/>
              </w:rPr>
              <w:t xml:space="preserve">Личностные качества 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обучаемость, организованность, ответственность, дисциплинированность, самостоятельность,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 эрудиция.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3"/>
      <w:headerReference w:type="first" r:id="rId4"/>
      <w:footerReference w:type="default" r:id="rId5"/>
      <w:type w:val="nextPage"/>
      <w:pgSz w:w="11906" w:h="16838"/>
      <w:pgMar w:left="1559" w:right="1276" w:header="720" w:top="777" w:footer="720" w:bottom="851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Segoe UI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right"/>
      <w:rPr/>
    </w:pPr>
    <w:r>
      <w:rPr/>
    </w:r>
  </w:p>
  <w:p>
    <w:pPr>
      <w:pStyle w:val="Style25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  <w:p>
    <w:pPr>
      <w:pStyle w:val="Style2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33470462"/>
    </w:sdtPr>
    <w:sdtContent>
      <w:p>
        <w:pPr>
          <w:pStyle w:val="Style24"/>
          <w:jc w:val="center"/>
          <w:rPr/>
        </w:pPr>
        <w:r>
          <w:rPr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4d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d265bb"/>
    <w:rPr>
      <w:rFonts w:ascii="Tahoma" w:hAnsi="Tahoma" w:cs="Tahoma"/>
      <w:sz w:val="16"/>
      <w:szCs w:val="16"/>
    </w:rPr>
  </w:style>
  <w:style w:type="character" w:styleId="11" w:customStyle="1">
    <w:name w:val="Основной текст (11)_"/>
    <w:qFormat/>
    <w:rsid w:val="004e4dff"/>
    <w:rPr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b87723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Appleconvertedspace" w:customStyle="1">
    <w:name w:val="apple-converted-space"/>
    <w:basedOn w:val="DefaultParagraphFont"/>
    <w:qFormat/>
    <w:rsid w:val="00d161b3"/>
    <w:rPr>
      <w:rFonts w:cs="Times New Roman"/>
    </w:rPr>
  </w:style>
  <w:style w:type="character" w:styleId="Blk1" w:customStyle="1">
    <w:name w:val="blk1"/>
    <w:basedOn w:val="DefaultParagraphFont"/>
    <w:qFormat/>
    <w:rsid w:val="00d31ab8"/>
    <w:rPr>
      <w:vanish w:val="false"/>
    </w:rPr>
  </w:style>
  <w:style w:type="character" w:styleId="Style17" w:customStyle="1">
    <w:name w:val="Абзац списка Знак"/>
    <w:link w:val="aa"/>
    <w:uiPriority w:val="34"/>
    <w:qFormat/>
    <w:locked/>
    <w:rsid w:val="00892779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" w:customStyle="1">
    <w:name w:val="Doc-Т внутри нумерации Знак"/>
    <w:link w:val="Doc-2"/>
    <w:uiPriority w:val="99"/>
    <w:qFormat/>
    <w:locked/>
    <w:rsid w:val="003767f6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sz w:val="22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eastAsia="Calibri"/>
      <w:sz w:val="22"/>
      <w:szCs w:val="22"/>
      <w:lang w:eastAsia="en-US"/>
    </w:rPr>
  </w:style>
  <w:style w:type="character" w:styleId="Style18">
    <w:name w:val="Интернет-ссылка"/>
    <w:rPr>
      <w:color w:val="000080"/>
      <w:u w:val="single"/>
      <w:lang w:val="zxx" w:eastAsia="zxx" w:bidi="zxx"/>
    </w:rPr>
  </w:style>
  <w:style w:type="character" w:styleId="ListLabel105">
    <w:name w:val="ListLabel 105"/>
    <w:qFormat/>
    <w:rPr>
      <w:rFonts w:cs="Symbol"/>
      <w:sz w:val="22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Wingdings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cs="Courier New"/>
    </w:rPr>
  </w:style>
  <w:style w:type="character" w:styleId="ListLabel113">
    <w:name w:val="ListLabel 113"/>
    <w:qFormat/>
    <w:rPr>
      <w:rFonts w:cs="Wingdings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Courier New"/>
    </w:rPr>
  </w:style>
  <w:style w:type="character" w:styleId="ListLabel116">
    <w:name w:val="ListLabel 116"/>
    <w:qFormat/>
    <w:rPr>
      <w:rFonts w:cs="Wingdings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Courier New"/>
    </w:rPr>
  </w:style>
  <w:style w:type="character" w:styleId="ListLabel119">
    <w:name w:val="ListLabel 119"/>
    <w:qFormat/>
    <w:rPr>
      <w:rFonts w:cs="Wingdings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cs="Courier New"/>
    </w:rPr>
  </w:style>
  <w:style w:type="character" w:styleId="ListLabel122">
    <w:name w:val="ListLabel 122"/>
    <w:qFormat/>
    <w:rPr>
      <w:rFonts w:cs="Wingdings"/>
    </w:rPr>
  </w:style>
  <w:style w:type="character" w:styleId="ListLabel123">
    <w:name w:val="ListLabel 123"/>
    <w:qFormat/>
    <w:rPr>
      <w:rFonts w:cs="Symbol"/>
      <w:sz w:val="22"/>
    </w:rPr>
  </w:style>
  <w:style w:type="character" w:styleId="ListLabel124">
    <w:name w:val="ListLabel 124"/>
    <w:qFormat/>
    <w:rPr>
      <w:rFonts w:cs="Courier New"/>
    </w:rPr>
  </w:style>
  <w:style w:type="character" w:styleId="ListLabel125">
    <w:name w:val="ListLabel 125"/>
    <w:qFormat/>
    <w:rPr>
      <w:rFonts w:cs="Wingdings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Wingdings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Wingdings"/>
    </w:rPr>
  </w:style>
  <w:style w:type="character" w:styleId="ListLabel132">
    <w:name w:val="ListLabel 132"/>
    <w:qFormat/>
    <w:rPr>
      <w:rFonts w:eastAsia="Calibri"/>
      <w:sz w:val="22"/>
      <w:szCs w:val="22"/>
      <w:lang w:eastAsia="en-US"/>
    </w:rPr>
  </w:style>
  <w:style w:type="character" w:styleId="ListLabel133">
    <w:name w:val="ListLabel 133"/>
    <w:qFormat/>
    <w:rPr>
      <w:rFonts w:cs="Symbol"/>
      <w:sz w:val="22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cs="Symbol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  <w:sz w:val="22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cs="Symbol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rFonts w:eastAsia="Calibri"/>
      <w:sz w:val="22"/>
      <w:szCs w:val="22"/>
      <w:lang w:eastAsia="en-US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ascii="Times New Roman" w:hAnsi="Times New Roman"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Times New Roman" w:hAnsi="Times New Roman"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d265bb"/>
    <w:pPr>
      <w:suppressAutoHyphens w:val="false"/>
    </w:pPr>
    <w:rPr>
      <w:rFonts w:ascii="Tahoma" w:hAnsi="Tahoma" w:eastAsia="Calibri" w:cs="Tahoma" w:eastAsiaTheme="minorHAnsi"/>
      <w:sz w:val="16"/>
      <w:szCs w:val="16"/>
      <w:lang w:eastAsia="en-US"/>
    </w:rPr>
  </w:style>
  <w:style w:type="paragraph" w:styleId="111" w:customStyle="1">
    <w:name w:val="Основной текст (11)1"/>
    <w:basedOn w:val="Normal"/>
    <w:qFormat/>
    <w:rsid w:val="004e4dff"/>
    <w:pPr>
      <w:widowControl w:val="false"/>
      <w:shd w:val="clear" w:color="auto" w:fill="FFFFFF"/>
      <w:spacing w:lineRule="exact" w:line="326" w:before="1140" w:after="600"/>
      <w:jc w:val="center"/>
    </w:pPr>
    <w:rPr>
      <w:sz w:val="25"/>
      <w:szCs w:val="25"/>
      <w:lang w:eastAsia="ru-RU"/>
    </w:rPr>
  </w:style>
  <w:style w:type="paragraph" w:styleId="Style24">
    <w:name w:val="Header"/>
    <w:basedOn w:val="Normal"/>
    <w:link w:val="a7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9"/>
    <w:uiPriority w:val="99"/>
    <w:unhideWhenUsed/>
    <w:rsid w:val="00b8772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link w:val="ab"/>
    <w:uiPriority w:val="34"/>
    <w:qFormat/>
    <w:rsid w:val="008533f2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837889"/>
    <w:pPr>
      <w:suppressAutoHyphens w:val="false"/>
    </w:pPr>
    <w:rPr>
      <w:lang w:eastAsia="ru-RU"/>
    </w:rPr>
  </w:style>
  <w:style w:type="paragraph" w:styleId="Doc1" w:customStyle="1">
    <w:name w:val="Doc-Текст"/>
    <w:uiPriority w:val="99"/>
    <w:qFormat/>
    <w:rsid w:val="00ba47c3"/>
    <w:pPr>
      <w:widowControl w:val="false"/>
      <w:bidi w:val="0"/>
      <w:spacing w:lineRule="auto" w:line="360" w:before="0" w:after="0"/>
      <w:ind w:firstLine="709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oc2" w:customStyle="1">
    <w:name w:val="Doc-Маркированный список"/>
    <w:basedOn w:val="Doc1"/>
    <w:qFormat/>
    <w:rsid w:val="00ba47c3"/>
    <w:pPr>
      <w:tabs>
        <w:tab w:val="clear" w:pos="708"/>
        <w:tab w:val="left" w:pos="993" w:leader="none"/>
      </w:tabs>
    </w:pPr>
    <w:rPr/>
  </w:style>
  <w:style w:type="paragraph" w:styleId="1" w:customStyle="1">
    <w:name w:val="Абзац списка1"/>
    <w:basedOn w:val="Normal"/>
    <w:qFormat/>
    <w:rsid w:val="00892779"/>
    <w:pPr>
      <w:suppressAutoHyphens w:val="false"/>
      <w:ind w:left="720" w:hanging="0"/>
      <w:jc w:val="both"/>
    </w:pPr>
    <w:rPr>
      <w:rFonts w:ascii="Calibri" w:hAnsi="Calibri" w:eastAsia="Calibri"/>
      <w:szCs w:val="22"/>
      <w:lang w:eastAsia="ru-RU"/>
    </w:rPr>
  </w:style>
  <w:style w:type="paragraph" w:styleId="Doc3" w:customStyle="1">
    <w:name w:val="Doc-Т внутри нумерации"/>
    <w:basedOn w:val="Normal"/>
    <w:link w:val="Doc-1"/>
    <w:uiPriority w:val="99"/>
    <w:qFormat/>
    <w:rsid w:val="003767f6"/>
    <w:pPr>
      <w:suppressAutoHyphens w:val="false"/>
      <w:spacing w:lineRule="auto" w:line="360"/>
      <w:ind w:left="720" w:firstLine="709"/>
      <w:jc w:val="both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NoSpacing">
    <w:name w:val="No Spacing"/>
    <w:uiPriority w:val="1"/>
    <w:qFormat/>
    <w:rsid w:val="00a7155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65bb"/>
    <w:pPr>
      <w:spacing w:after="0" w:line="240" w:lineRule="auto"/>
      <w:jc w:val="both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70481474.1000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5F82D-8B40-43D9-A15F-9C559CFC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Application>LibreOffice/6.1.1.2$Windows_X86_64 LibreOffice_project/5d19a1bfa650b796764388cd8b33a5af1f5baa1b</Application>
  <Pages>6</Pages>
  <Words>1552</Words>
  <Characters>12671</Characters>
  <CharactersWithSpaces>14071</CharactersWithSpaces>
  <Paragraphs>177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2018-01-26T12:30:00Z</dcterms:created>
  <dc:creator>Петрова Оксана Ивановна</dc:creator>
  <dc:description/>
  <dc:language>ru-RU</dc:language>
  <cp:lastModifiedBy/>
  <cp:lastPrinted>2018-02-16T10:22:00Z</cp:lastPrinted>
  <dcterms:modified xsi:type="dcterms:W3CDTF">2018-11-15T17:28:14Z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