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1"/>
        <w:shd w:val="clear" w:fill="FFFFFF"/>
        <w:spacing w:lineRule="auto" w:line="240" w:before="0" w:after="0"/>
        <w:ind w:firstLine="426"/>
        <w:jc w:val="right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МОДЕЛЬ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 xml:space="preserve">ПРОФИЛЬ ДОЛЖНОСТИ 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«Главная»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0348" w:type="dxa"/>
        <w:jc w:val="left"/>
        <w:tblInd w:w="-6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4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4820"/>
        <w:gridCol w:w="5527"/>
      </w:tblGrid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extAlignment w:val="baseline"/>
              <w:rPr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 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Регулирование промышленности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выработка и реализация государственной промышленной политики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нормативное правовое регулирование в сфере обрабатывающей промышленности;</w:t>
            </w:r>
          </w:p>
          <w:p>
            <w:pPr>
              <w:pStyle w:val="Normal"/>
              <w:ind w:left="-15" w:right="144" w:hanging="0"/>
              <w:jc w:val="both"/>
              <w:rPr/>
            </w:pPr>
            <w:r>
              <w:rPr>
                <w:sz w:val="22"/>
                <w:szCs w:val="22"/>
              </w:rPr>
              <w:t xml:space="preserve">-  инвестиционное планирование и контроль реализации инвестиционных программ в установленной сфере деятельности.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Подчиняется начальнику Управления промышленной политики Департамента промышленности Ханты-Мансийского автономного округа – Югры,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6 штатных единиц в органе государственной власти;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Продолжительность и режим работы: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мужчин - 40 часов в неделю,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женщин - 36 часов в неделю,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выходные дни - суббота и воскресенье,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ненормированный рабочий день.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должности (кратко)</w:t>
            </w:r>
          </w:p>
          <w:p>
            <w:pPr>
              <w:pStyle w:val="Normal"/>
              <w:textAlignment w:val="baseline"/>
              <w:rPr>
                <w:b/>
                <w:b/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исполнение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Правительства автономного округа, Губернатора автономного округа, директора Департамента, начальника управления;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руководство деятельностью отдела, дает поручения обязательные для исполнения гражданскими служащими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составление плана работы отдела и отчетов о деятельности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распределение должностных обязанностей  между гражданскими служащими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реализацию мероприятий по развитию промышленной инфраструктуры, промышленных (индустриальных) парков, промышленных кластеров;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экспертизу проектов в сфере обрабатывающей промышленности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контроль за надлежащим исполнением обязательств, предусмотренных в соглашениях о предоставлении мер государственной поддержки субъектам деятельности в сфере обрабатывающей промышленности, которые заключены Департаментом;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взаимодействие с организациями, реализующими свою деятельность по направлению, отнесенному к компетенции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 по вопросам, относящимся к компетенции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аналитических материалов, информационных справок, презентаций по вопросам, отнесённым к компетенции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ведение статистического учета и предоставление статистической отчетности в уполномоченные органы в соо</w:t>
            </w:r>
            <w:bookmarkStart w:id="0" w:name="sub_31"/>
            <w:r>
              <w:rPr>
                <w:rFonts w:eastAsia="Calibri"/>
                <w:sz w:val="22"/>
                <w:szCs w:val="22"/>
                <w:lang w:eastAsia="en-US"/>
              </w:rPr>
              <w:t>тветствии с компетенцией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мониторинг изменений законодательства и иных нормативных правовых актов в сфере реализации государственной промышленной политики;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наставничество над лицами, включенными в кадровый резерв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участие в составлении индивидуального плана подготовки гражданского служащего (гражданина), включенного в кадровый резерв;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согласование индивидуального плана профессионального развития гражданского служащего;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оформление служебных заданий для направления в командировку гражданских служащих отдела и контроль за их выполнением;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оказание методологической, информационно-консультационной помощи по вопросам реализации государственной промышленной политики в различных отраслях обрабатывающей промышленности структурным подразделениям Департамента;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иных поручений и указаний непосредственного руководителя и директора Департамента;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иные полномочия установленные законодательством и нормативными правовыми актами Российской Федерации и автономного округа.</w:t>
            </w:r>
          </w:p>
          <w:p>
            <w:pPr>
              <w:pStyle w:val="Normal"/>
              <w:suppressAutoHyphens w:val="false"/>
              <w:spacing w:before="0" w:after="0"/>
              <w:ind w:firstLine="70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Участвует совместно с подразделениями Департамента: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организации и контроле реализации законодательства Российской Федерации и автономного округа в сфере деятельности отдела;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разработке и реализации государственных и (или) ведомственных целевых программ автономного округа в установленной сфере деятельности;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актуализации государственной программы развития промышленности автономного округа с целью ее соответствия требованиям законодательства Российской Федерации и автономного округа и совершенствования мер стимулирования в сфере обрабатывающей промышленности;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подготовке ежегодных докладов о результатах и основных направлениях деятельности Департамента</w:t>
            </w:r>
            <w:bookmarkStart w:id="1" w:name="sub_45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разработке проектов нормативных правовых актов автономного округа в сфере деятельности отдела;</w:t>
            </w:r>
            <w:bookmarkStart w:id="2" w:name="sub_53"/>
            <w:bookmarkEnd w:id="1"/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в подготовке предложений по вопросам утверждения </w:t>
            </w:r>
            <w:hyperlink r:id="rId2">
              <w:r>
                <w:rPr>
                  <w:rStyle w:val="ListLabel104"/>
                  <w:rFonts w:eastAsia="Calibri"/>
                  <w:sz w:val="22"/>
                  <w:szCs w:val="22"/>
                  <w:lang w:eastAsia="en-US"/>
                </w:rPr>
                <w:t>служебного распорядка</w:t>
              </w:r>
            </w:hyperlink>
            <w:r>
              <w:rPr>
                <w:rFonts w:eastAsia="Calibri"/>
                <w:sz w:val="22"/>
                <w:szCs w:val="22"/>
                <w:lang w:eastAsia="en-US"/>
              </w:rPr>
              <w:t>, административных, должностных и других регламентов Департамента</w:t>
            </w:r>
            <w:bookmarkEnd w:id="2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работе коллегиальных органов (комиссий, коллегий, советов, рабочих групп);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проведении конкурсов на замещение вакантных должностей государственной гражданской службы в отделе, а также на формирование кадрового резерва гражданских служащих (граждан) для замещения вакантных должностей в отделе;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выставках, семинарах, совещаниях, конференциях.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Анализирует: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практику применения действующего законодательства Российской Федерации и законодательства автономного </w:t>
              <w:br/>
              <w:t>округа в сфере обрабатывающих отраслей промышленности;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отчеты субъектов деятельности в сфере обрабатывающей промышленности о целевом использовании средств, полученных из бюджета Ханты-Мансийского автономного округа – Югры;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статистические и отчетные данные о результатах деятельности организаций в обрабатывающих секторах промышленности автономного округа и субъектов российской Федерации.</w:t>
            </w:r>
            <w:bookmarkEnd w:id="0"/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Контролирует: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своевременность исполнения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поручений и указаний Правительства автономного округа, Губернатора автономного округа, директора Департамента, начальника управления в сфере деятельности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законность деятельности гражданских служащих отдела при исполнении ими должностных обязанностей; 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функций, возложенных на отдел в соответствии с утвержденным положением об отделе;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проектов решений Департамента, директора Департамента по стратегическим проблемам, закрепленного за ним направления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- организует согласование проектов этих решений;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исполнение должностных обязанностей, служебного распорядка гражданскими служащими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соблюдение законодательства и иных нормативных правовых актов Российской Федерации и автономного округа, при осуществлении гражданскими служащими функций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выполнение гражданскими служащими требований к служебному поведению, соблюдение Кодекса этики и служебного поведения государственных гражданских служащих автономного округа, законодательства о противодействии коррупции;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экспертизу проектов в сфере обрабатывающей промышленности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надлежащее исполнение обязательств, предусмотренных в соглашениях</w:t>
            </w:r>
            <w:bookmarkStart w:id="3" w:name="_GoBack"/>
            <w:bookmarkEnd w:id="3"/>
            <w:r>
              <w:rPr>
                <w:rFonts w:eastAsia="Calibri"/>
                <w:sz w:val="22"/>
                <w:szCs w:val="22"/>
                <w:lang w:eastAsia="en-US"/>
              </w:rPr>
              <w:t xml:space="preserve"> о предоставлении мер государственной поддержки субъектам деятельности в сфере обрабатывающей промышленности, которые заключены Департаментом;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проведение анализа результатов финансово-хозяйственной деятельности организаций обрабатывающих отраслей промышленности, итогов деятельности отрасли, подготовку аналитических записок;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прогнозов развития обрабатывающих отраслей промышленности на основании анализа текущего состояния и перспектив развития отрасли.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Работа подразумевает: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работу с документами;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оказание государственных услуг;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внутреннее взаимодействие;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другое_____________________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(выбрать)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документами;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внешние коммуникации (с гражданами, предприятиями и организациями, общественностью, федеральными и муниципальными органами государственной власти);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взаимодействие (между структурными подразделениями Департамента)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уровень образования;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направление (при необходимости)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Высшее образование - специалитет, магистратура 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направлениям подготовки (специальности(-ям) профессионального образования: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«Государственное и муниципальное управление», «Экономика и управление на предприятии» </w:t>
            </w:r>
            <w:r>
              <w:rPr>
                <w:rFonts w:eastAsia="Calibri"/>
                <w:sz w:val="22"/>
                <w:szCs w:val="22"/>
                <w:lang w:eastAsia="en-US"/>
              </w:rPr>
      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Стаж работы: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специальности;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службы;</w:t>
            </w:r>
          </w:p>
          <w:p>
            <w:pPr>
              <w:pStyle w:val="Normal"/>
              <w:ind w:left="397" w:hanging="0"/>
              <w:rPr>
                <w:rFonts w:ascii="Segoe UI" w:hAnsi="Segoe UI" w:cs="Segoe UI"/>
                <w:b/>
                <w:b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управленческий стаж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Наличие стажа государственной службы или стажа работы по специальности, направлению подготовки не менее двух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Опыт работы в сфере __________ (указать)</w:t>
            </w:r>
          </w:p>
          <w:p>
            <w:pPr>
              <w:pStyle w:val="ListParagraph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__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соблюдение законодательства Российской Федерации, законодательства автономного округа и локальных нормативных правовых актов в установленной сфере деятельности и профилактика коррупционных правонарушений;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службе, 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соблюдение установленных законодательством сроков рассмотрения поступивших обращений граждан;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удовлетворенность полнотой и актуальностью предоставленной информации при рассмотрении поступивших обращений;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выполнения плана мероприятий отдела, Управления, Департамента в установленной сфере деятельности;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своевременное и качественное выполнение заданий (поручений) и указаний Президента Российской Федерации, Администрации Президента Российской Федерации, федеральных министерств и ведомств, полномочного представителя Президента Российской Федерации в Уральском Федеральном округе, аппарата полномочного представителя Президента Российской Федерации, в пределах компетенции Департамента;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своевременное и качественное выполнение заданий (поручений) директора Департамента;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принятие в установленный срок управленческих решений по всем вопросам в рамках полномочий, определенных положением об отделе;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организации труда: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производительность (выполняемый объем работы);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результативность (меры достижения поставленных целей);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интенсивность (способность в короткие сроки выполнять определенный объем работы).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Профессионализм: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профессиональная компетентность (знание законодательных, нормативных правовых актов, широта профессионального кругозора, умение работать с документами);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выполнять должностные функции самостоятельно;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приоритеты.</w:t>
            </w:r>
          </w:p>
        </w:tc>
      </w:tr>
    </w:tbl>
    <w:p>
      <w:pPr>
        <w:pStyle w:val="Normal"/>
        <w:textAlignment w:val="baseline"/>
        <w:rPr>
          <w:rFonts w:ascii="Calibri" w:hAnsi="Calibri" w:cs="Segoe UI"/>
          <w:sz w:val="22"/>
          <w:szCs w:val="22"/>
          <w:lang w:eastAsia="ru-RU"/>
        </w:rPr>
      </w:pPr>
      <w:r>
        <w:rPr>
          <w:rFonts w:cs="Segoe UI" w:ascii="Calibri" w:hAnsi="Calibri"/>
          <w:sz w:val="22"/>
          <w:szCs w:val="22"/>
          <w:lang w:eastAsia="ru-RU"/>
        </w:rPr>
      </w:r>
    </w:p>
    <w:p>
      <w:pPr>
        <w:pStyle w:val="Normal"/>
        <w:textAlignment w:val="baseline"/>
        <w:rPr>
          <w:b/>
          <w:b/>
          <w:i/>
          <w:i/>
        </w:rPr>
      </w:pPr>
      <w:r>
        <w:rPr>
          <w:b/>
          <w:i/>
        </w:rPr>
        <w:t>Требования к знаниям и умениям (кратко):</w:t>
      </w:r>
    </w:p>
    <w:p>
      <w:pPr>
        <w:pStyle w:val="Normal"/>
        <w:textAlignment w:val="baseline"/>
        <w:rPr>
          <w:rFonts w:ascii="Calibri" w:hAnsi="Calibri" w:cs="Segoe UI"/>
          <w:lang w:eastAsia="ru-RU"/>
        </w:rPr>
      </w:pPr>
      <w:r>
        <w:rPr>
          <w:rFonts w:cs="Segoe UI" w:ascii="Calibri" w:hAnsi="Calibri"/>
          <w:lang w:eastAsia="ru-RU"/>
        </w:rPr>
      </w:r>
    </w:p>
    <w:tbl>
      <w:tblPr>
        <w:tblW w:w="10348" w:type="dxa"/>
        <w:jc w:val="lef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9"/>
        <w:gridCol w:w="8078"/>
      </w:tblGrid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baseline"/>
              <w:rPr>
                <w:rFonts w:eastAsia="Calibri"/>
                <w:b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>Наличие знаний: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конституционных прав и свобод гражданина Российской Федерации;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правового положения (статуса) государственного гражданского служащего;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межведомственного взаимодействия;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Знания и умения в области проектного управления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Знания в области проектного управления, установленные разделами I, II, III Перечня обязательных требований к профессиональным знаниям и умениям, предъявляемым к государственным гражданским служащим автономного округа, участвующим в управлении проектной деятельностью, утвержденного совместным приказом Департамента государственной гражданской службы и кадровой политики автономного округа и Департамента проектного управления автономного округа от 01.12.2016 №126/29.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Общие умения</w:t>
            </w:r>
            <w:r>
              <w:rPr>
                <w:sz w:val="22"/>
                <w:szCs w:val="22"/>
              </w:rPr>
              <w:t>: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умение мыслить стратегически (системно);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Doc3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коммуникативные умения;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uppressAutoHyphens w:val="false"/>
              <w:spacing w:lineRule="auto" w:line="240"/>
              <w:ind w:left="317" w:hanging="284"/>
              <w:rPr>
                <w:b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управлять изменениями.</w:t>
            </w:r>
          </w:p>
          <w:p>
            <w:pPr>
              <w:pStyle w:val="Normal"/>
              <w:spacing w:lineRule="auto" w:line="240"/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Управленческие умения:</w:t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uppressAutoHyphens w:val="false"/>
              <w:spacing w:lineRule="auto" w:line="24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0" w:leader="none"/>
                <w:tab w:val="left" w:pos="993" w:leader="none"/>
              </w:tabs>
              <w:suppressAutoHyphens w:val="false"/>
              <w:spacing w:lineRule="auto" w:line="24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>
        <w:trPr>
          <w:trHeight w:val="507" w:hRule="atLeast"/>
        </w:trPr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uppressAutoHyphens w:val="false"/>
              <w:ind w:left="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П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знаний: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законодательства Российской Федерации и Ханты-Мансийского автономного округа – Югры в сфере обрабатывающей промышленности;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/>
              <w:t>приоритетов государственной политики в области развития обрабатывающей промышленности;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Наличие умений: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личного труда, в том числе планирования служебного времени;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владение современными средствами и методами работы с информацией;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с информационно-телекоммуникационными сетями, в том числе сетью Интернет;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использование справочно-правовых систем;</w:t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внутренними и периферийными устройствами компьютера (принтер, сканер, многофункциональное устройство и т.д.);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правовыми актами и иными документами;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системного анализа действующего законодательства и правоприменительной практики в установленной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ind w:firstLine="33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планирования и координации проектов от стадии инициирования до стадии завершения;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работа в автоматизированных системах;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выстраивания связи между персональным развитием и целями и задачами, стоящими перед структурным подразделением;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использования опыта и мнения коллег.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Функциональные знания и умения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>
            <w:pPr>
              <w:pStyle w:val="NoSpacing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понятие нормы права и ее признаки;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 проекта нормативного правового акта, инструменты и этапы его разработки;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понятие официального отзыва на проекты нормативно-правовых актов: этапы, ключевые принципы и технологии разработки; 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понятие, процедура рассмотрения обращений граждан;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принципы, методы, технологии и механизмы осуществления контроля (надзора);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процедура организации проверки: порядок, этапы, инструменты проведения.</w:t>
            </w:r>
          </w:p>
          <w:p>
            <w:pPr>
              <w:pStyle w:val="NoSpacing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и методы реализации государственной промышленной политики;</w:t>
            </w:r>
          </w:p>
          <w:p>
            <w:pPr>
              <w:pStyle w:val="NoSpacing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формирования и оценки эффективности деятельности в сфере развития обрабатывающей промышленности.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ind w:left="33" w:hanging="0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Функциональные умения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: 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руководство структурным подразделением, включая навыки планирования и организации его деятельности;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разработка, рассмотрение и согласование проектов нормативных правовых актов автономного округа и других документов по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практическое применение правовых и нормативных правовых актов Российской Федерации и автономного округа в установленной сфере деятельности;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проектов решений Департамента по вопросам, относящимся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предложений по выработке управленческих решений в сфере, соответствующей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методических рекомендаций, разъяснений;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подготовка аналитических, информационных и других материалов;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владение приемами межличностных отношений, конструктивной критики, стимулирования достижения результатов;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публичного выступления перед коллегами, гражданами на совещаниях, семинарах, выставках и других мероприятиях;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составление текущих и перспективных планов достижения цели с учетом необходимых ресурсов, возможных изменений обстоятельств и влияния внешних факторов;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- планирование и координация проектов от стадии инициирования до стадии завершения;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обеспечение и контроль выполнения управленческих решений, в том числе документов, проектов и решений поставленных с учетом установленных сроков;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консультационная помощь физическим и юридическим лицам по вопросам, отнесенным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своевременное выявление проблемных ситуаций, приводящих к конфликту интересов;</w:t>
            </w:r>
          </w:p>
          <w:p>
            <w:pPr>
              <w:pStyle w:val="Normal"/>
              <w:suppressAutoHyphens w:val="false"/>
              <w:spacing w:lineRule="auto" w:line="276"/>
              <w:ind w:firstLine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передачи знаний и умений, развития способностей подчиненных.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-427" w:hanging="0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color w:val="000000"/>
                <w:sz w:val="22"/>
                <w:szCs w:val="22"/>
                <w:shd w:fill="FFFFFF" w:val="clear"/>
              </w:rPr>
              <w:t>Профессиональные качества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 понимание, стиль общения, соответствующий ситуации;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сбор и анализ информации;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подготовка документов в соответствии с требованиями;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межличностное, межведомственное взаимодействие, убедительность коммуникаций;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работа в команде;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стратегическое видение/мышление;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</w:rPr>
              <w:t>- творческий подход, инновационность</w:t>
            </w:r>
          </w:p>
        </w:tc>
      </w:tr>
      <w:tr>
        <w:trPr>
          <w:trHeight w:val="1412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7" w:hanging="0"/>
              <w:jc w:val="both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аналитическое мышление, лидерство,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обучаемость, организованность, ответственность, дисциплинированность, самостоятельность,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 эрудиция.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headerReference w:type="first" r:id="rId4"/>
      <w:footerReference w:type="default" r:id="rId5"/>
      <w:type w:val="nextPage"/>
      <w:pgSz w:w="11906" w:h="16838"/>
      <w:pgMar w:left="1559" w:right="1276" w:header="720" w:top="777" w:footer="72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right"/>
      <w:rPr/>
    </w:pPr>
    <w:r>
      <w:rPr/>
    </w:r>
  </w:p>
  <w:p>
    <w:pPr>
      <w:pStyle w:val="Style25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23852314"/>
    </w:sdtPr>
    <w:sdtContent>
      <w:p>
        <w:pPr>
          <w:pStyle w:val="Style24"/>
          <w:jc w:val="center"/>
          <w:rPr/>
        </w:pPr>
        <w:r>
          <w:rPr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4d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265bb"/>
    <w:rPr>
      <w:rFonts w:ascii="Tahoma" w:hAnsi="Tahoma" w:cs="Tahoma"/>
      <w:sz w:val="16"/>
      <w:szCs w:val="16"/>
    </w:rPr>
  </w:style>
  <w:style w:type="character" w:styleId="11" w:customStyle="1">
    <w:name w:val="Основной текст (11)_"/>
    <w:qFormat/>
    <w:rsid w:val="004e4dff"/>
    <w:rPr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Appleconvertedspace" w:customStyle="1">
    <w:name w:val="apple-converted-space"/>
    <w:basedOn w:val="DefaultParagraphFont"/>
    <w:qFormat/>
    <w:rsid w:val="00d161b3"/>
    <w:rPr>
      <w:rFonts w:cs="Times New Roman"/>
    </w:rPr>
  </w:style>
  <w:style w:type="character" w:styleId="Blk1" w:customStyle="1">
    <w:name w:val="blk1"/>
    <w:basedOn w:val="DefaultParagraphFont"/>
    <w:qFormat/>
    <w:rsid w:val="00d31ab8"/>
    <w:rPr>
      <w:vanish w:val="false"/>
    </w:rPr>
  </w:style>
  <w:style w:type="character" w:styleId="Style17" w:customStyle="1">
    <w:name w:val="Абзац списка Знак"/>
    <w:link w:val="aa"/>
    <w:uiPriority w:val="34"/>
    <w:qFormat/>
    <w:locked/>
    <w:rsid w:val="00892779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" w:customStyle="1">
    <w:name w:val="Doc-Т внутри нумерации Знак"/>
    <w:link w:val="Doc-2"/>
    <w:uiPriority w:val="99"/>
    <w:qFormat/>
    <w:locked/>
    <w:rsid w:val="003767f6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sz w:val="22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eastAsia="Calibri"/>
      <w:sz w:val="22"/>
      <w:szCs w:val="22"/>
      <w:lang w:eastAsia="en-US"/>
    </w:rPr>
  </w:style>
  <w:style w:type="character" w:styleId="Style18">
    <w:name w:val="Интернет-ссылка"/>
    <w:rPr>
      <w:color w:val="000080"/>
      <w:u w:val="single"/>
      <w:lang w:val="zxx" w:eastAsia="zxx" w:bidi="zxx"/>
    </w:rPr>
  </w:style>
  <w:style w:type="character" w:styleId="ListLabel105">
    <w:name w:val="ListLabel 105"/>
    <w:qFormat/>
    <w:rPr>
      <w:rFonts w:cs="Symbol"/>
      <w:sz w:val="22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Wingdings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cs="Courier New"/>
    </w:rPr>
  </w:style>
  <w:style w:type="character" w:styleId="ListLabel113">
    <w:name w:val="ListLabel 113"/>
    <w:qFormat/>
    <w:rPr>
      <w:rFonts w:cs="Wingdings"/>
    </w:rPr>
  </w:style>
  <w:style w:type="character" w:styleId="ListLabel114">
    <w:name w:val="ListLabel 114"/>
    <w:qFormat/>
    <w:rPr>
      <w:rFonts w:ascii="Times New Roman" w:hAnsi="Times New Roman" w:cs="Symbol"/>
      <w:b/>
      <w:sz w:val="22"/>
    </w:rPr>
  </w:style>
  <w:style w:type="character" w:styleId="ListLabel115">
    <w:name w:val="ListLabel 115"/>
    <w:qFormat/>
    <w:rPr>
      <w:rFonts w:cs="Courier New"/>
    </w:rPr>
  </w:style>
  <w:style w:type="character" w:styleId="ListLabel116">
    <w:name w:val="ListLabel 116"/>
    <w:qFormat/>
    <w:rPr>
      <w:rFonts w:cs="Wingdings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Courier New"/>
    </w:rPr>
  </w:style>
  <w:style w:type="character" w:styleId="ListLabel119">
    <w:name w:val="ListLabel 119"/>
    <w:qFormat/>
    <w:rPr>
      <w:rFonts w:cs="Wingdings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Wingdings"/>
    </w:rPr>
  </w:style>
  <w:style w:type="character" w:styleId="ListLabel123">
    <w:name w:val="ListLabel 123"/>
    <w:qFormat/>
    <w:rPr>
      <w:rFonts w:cs="Symbol"/>
      <w:sz w:val="22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Wingdings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Wingdings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cs="Symbol"/>
      <w:sz w:val="22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Wingdings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Wingdings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Wingdings"/>
    </w:rPr>
  </w:style>
  <w:style w:type="character" w:styleId="ListLabel141">
    <w:name w:val="ListLabel 141"/>
    <w:qFormat/>
    <w:rPr>
      <w:rFonts w:eastAsia="Calibri"/>
      <w:sz w:val="22"/>
      <w:szCs w:val="22"/>
      <w:lang w:eastAsia="en-US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ascii="Times New Roman" w:hAnsi="Times New Roman"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265bb"/>
    <w:pPr>
      <w:suppressAutoHyphens w:val="false"/>
    </w:pPr>
    <w:rPr>
      <w:rFonts w:ascii="Tahoma" w:hAnsi="Tahoma" w:eastAsia="Calibri" w:cs="Tahoma" w:eastAsiaTheme="minorHAnsi"/>
      <w:sz w:val="16"/>
      <w:szCs w:val="16"/>
      <w:lang w:eastAsia="en-US"/>
    </w:rPr>
  </w:style>
  <w:style w:type="paragraph" w:styleId="111" w:customStyle="1">
    <w:name w:val="Основной текст (11)1"/>
    <w:basedOn w:val="Normal"/>
    <w:qFormat/>
    <w:rsid w:val="004e4dff"/>
    <w:pPr>
      <w:widowControl w:val="false"/>
      <w:shd w:val="clear" w:color="auto" w:fill="FFFFFF"/>
      <w:spacing w:lineRule="exact" w:line="326" w:before="1140" w:after="600"/>
      <w:jc w:val="center"/>
    </w:pPr>
    <w:rPr>
      <w:sz w:val="25"/>
      <w:szCs w:val="25"/>
      <w:lang w:eastAsia="ru-RU"/>
    </w:rPr>
  </w:style>
  <w:style w:type="paragraph" w:styleId="Style24">
    <w:name w:val="Header"/>
    <w:basedOn w:val="Normal"/>
    <w:link w:val="a7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9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ab"/>
    <w:uiPriority w:val="34"/>
    <w:qFormat/>
    <w:rsid w:val="008533f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37889"/>
    <w:pPr>
      <w:suppressAutoHyphens w:val="false"/>
    </w:pPr>
    <w:rPr>
      <w:lang w:eastAsia="ru-RU"/>
    </w:rPr>
  </w:style>
  <w:style w:type="paragraph" w:styleId="Doc1" w:customStyle="1">
    <w:name w:val="Doc-Текст"/>
    <w:uiPriority w:val="99"/>
    <w:qFormat/>
    <w:rsid w:val="00ba47c3"/>
    <w:pPr>
      <w:widowControl w:val="false"/>
      <w:bidi w:val="0"/>
      <w:spacing w:lineRule="auto" w:line="360" w:before="0" w:after="0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oc2" w:customStyle="1">
    <w:name w:val="Doc-Маркированный список"/>
    <w:basedOn w:val="Doc1"/>
    <w:qFormat/>
    <w:rsid w:val="00ba47c3"/>
    <w:pPr>
      <w:tabs>
        <w:tab w:val="clear" w:pos="708"/>
        <w:tab w:val="left" w:pos="993" w:leader="none"/>
      </w:tabs>
    </w:pPr>
    <w:rPr/>
  </w:style>
  <w:style w:type="paragraph" w:styleId="1" w:customStyle="1">
    <w:name w:val="Абзац списка1"/>
    <w:basedOn w:val="Normal"/>
    <w:qFormat/>
    <w:rsid w:val="00892779"/>
    <w:pPr>
      <w:suppressAutoHyphens w:val="false"/>
      <w:ind w:left="720" w:hanging="0"/>
      <w:jc w:val="both"/>
    </w:pPr>
    <w:rPr>
      <w:rFonts w:ascii="Calibri" w:hAnsi="Calibri" w:eastAsia="Calibri"/>
      <w:szCs w:val="22"/>
      <w:lang w:eastAsia="ru-RU"/>
    </w:rPr>
  </w:style>
  <w:style w:type="paragraph" w:styleId="Doc3" w:customStyle="1">
    <w:name w:val="Doc-Т внутри нумерации"/>
    <w:basedOn w:val="Normal"/>
    <w:link w:val="Doc-1"/>
    <w:uiPriority w:val="99"/>
    <w:qFormat/>
    <w:rsid w:val="003767f6"/>
    <w:pPr>
      <w:suppressAutoHyphens w:val="false"/>
      <w:spacing w:lineRule="auto" w:line="360"/>
      <w:ind w:left="720" w:firstLine="709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NoSpacing">
    <w:name w:val="No Spacing"/>
    <w:uiPriority w:val="1"/>
    <w:qFormat/>
    <w:rsid w:val="00a7155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65bb"/>
    <w:pPr>
      <w:spacing w:after="0" w:line="240" w:lineRule="auto"/>
      <w:jc w:val="both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0481474.1000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1808-6B02-4BA3-A9FE-9F60A17A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Application>LibreOffice/6.1.1.2$Windows_X86_64 LibreOffice_project/5d19a1bfa650b796764388cd8b33a5af1f5baa1b</Application>
  <Pages>8</Pages>
  <Words>2061</Words>
  <Characters>16777</Characters>
  <CharactersWithSpaces>18652</CharactersWithSpaces>
  <Paragraphs>210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2018-01-26T12:30:00Z</dcterms:created>
  <dc:creator>Петрова Оксана Ивановна</dc:creator>
  <dc:description/>
  <dc:language>ru-RU</dc:language>
  <cp:lastModifiedBy/>
  <cp:lastPrinted>2018-02-16T10:22:00Z</cp:lastPrinted>
  <dcterms:modified xsi:type="dcterms:W3CDTF">2018-11-15T17:29:07Z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