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fill="FFFFFF"/>
        <w:tabs>
          <w:tab w:val="clear" w:pos="708"/>
          <w:tab w:val="left" w:pos="1118" w:leader="none"/>
        </w:tabs>
        <w:suppressAutoHyphens w:val="true"/>
        <w:spacing w:lineRule="auto" w:line="240" w:before="0" w:after="0"/>
        <w:ind w:left="10" w:hanging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-4"/>
          <w:sz w:val="24"/>
          <w:szCs w:val="24"/>
          <w:u w:val="single"/>
          <w:lang w:eastAsia="ru-RU"/>
        </w:rPr>
        <w:t xml:space="preserve">Консультант отдела реализации </w:t>
      </w:r>
      <w:r>
        <w:rPr>
          <w:rFonts w:eastAsia="Times New Roman" w:cs="Times New Roman" w:ascii="Times New Roman" w:hAnsi="Times New Roman"/>
          <w:b/>
          <w:i/>
          <w:color w:val="000000"/>
          <w:spacing w:val="-5"/>
          <w:sz w:val="24"/>
          <w:szCs w:val="24"/>
          <w:u w:val="single"/>
          <w:lang w:eastAsia="ru-RU"/>
        </w:rPr>
        <w:t xml:space="preserve">программ Управления агропромышленного комплекса </w:t>
      </w:r>
      <w:r>
        <w:rPr>
          <w:rFonts w:eastAsia="Times New Roman" w:cs="Times New Roman" w:ascii="Times New Roman" w:hAnsi="Times New Roman"/>
          <w:b/>
          <w:i/>
          <w:color w:val="000000"/>
          <w:spacing w:val="-8"/>
          <w:sz w:val="24"/>
          <w:szCs w:val="24"/>
          <w:u w:val="single"/>
          <w:lang w:eastAsia="ru-RU"/>
        </w:rPr>
        <w:t>Департамента промышленности Ханты-</w:t>
      </w:r>
      <w:r>
        <w:rPr>
          <w:rFonts w:eastAsia="Times New Roman" w:cs="Times New Roman" w:ascii="Times New Roman" w:hAnsi="Times New Roman"/>
          <w:b/>
          <w:i/>
          <w:color w:val="000000"/>
          <w:spacing w:val="-3"/>
          <w:sz w:val="24"/>
          <w:szCs w:val="24"/>
          <w:u w:val="single"/>
          <w:lang w:eastAsia="ru-RU"/>
        </w:rPr>
        <w:t>Мансийского автономного округа – Югры.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none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«Специалисты»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3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1118" w:leader="none"/>
              </w:tabs>
              <w:spacing w:lineRule="auto" w:line="240" w:before="0" w:after="0"/>
              <w:ind w:left="10" w:hanging="0"/>
              <w:jc w:val="both"/>
              <w:rPr>
                <w:sz w:val="22"/>
                <w:szCs w:val="22"/>
              </w:rPr>
            </w:pPr>
            <w:bookmarkStart w:id="2" w:name="__DdeLink__284_358769631"/>
            <w:r>
              <w:rPr>
                <w:rFonts w:eastAsia="Times New Roman" w:cs="Times New Roman" w:ascii="Times New Roman" w:hAnsi="Times New Roman"/>
                <w:color w:val="000000"/>
                <w:spacing w:val="-4"/>
                <w:sz w:val="22"/>
                <w:szCs w:val="22"/>
                <w:lang w:eastAsia="ru-RU"/>
              </w:rPr>
              <w:t xml:space="preserve">Консультант отдела реализации </w:t>
            </w:r>
            <w:r>
              <w:rPr>
                <w:rFonts w:eastAsia="Times New Roman" w:cs="Times New Roman" w:ascii="Times New Roman" w:hAnsi="Times New Roman"/>
                <w:color w:val="000000"/>
                <w:spacing w:val="-5"/>
                <w:sz w:val="22"/>
                <w:szCs w:val="22"/>
                <w:lang w:eastAsia="ru-RU"/>
              </w:rPr>
              <w:t xml:space="preserve">программ Управления агропромышленного комплекса </w:t>
            </w:r>
            <w:r>
              <w:rPr>
                <w:rFonts w:eastAsia="Times New Roman" w:cs="Times New Roman" w:ascii="Times New Roman" w:hAnsi="Times New Roman"/>
                <w:color w:val="000000"/>
                <w:spacing w:val="-8"/>
                <w:sz w:val="22"/>
                <w:szCs w:val="22"/>
                <w:lang w:eastAsia="ru-RU"/>
              </w:rPr>
              <w:t>Департамента промышленности Ханты-</w:t>
            </w:r>
            <w:r>
              <w:rPr>
                <w:rFonts w:eastAsia="Times New Roman" w:cs="Times New Roman" w:ascii="Times New Roman" w:hAnsi="Times New Roman"/>
                <w:color w:val="000000"/>
                <w:spacing w:val="-3"/>
                <w:sz w:val="22"/>
                <w:szCs w:val="22"/>
                <w:lang w:eastAsia="ru-RU"/>
              </w:rPr>
              <w:t>Мансийского автономного округа – Югры.</w:t>
            </w:r>
            <w:bookmarkEnd w:id="2"/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2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В сфере агропромышленного комплекса.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Подчиняется начальнику отдела реализации программ, начальнику Управления агропромышленного комплекса, заместителю директора Департамента, курирующего вопросы агропромышленного комплекса, директору Департамента.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u w:val="none"/>
                <w:lang w:eastAsia="ru-RU"/>
              </w:rPr>
              <w:t>Отсутствуют.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Условия работы: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формирование бухгалтерской и финансовой отчётности в сфере агропромышленного комплекса;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подготовка и согласование соглашений (дополнительных соглашений) о реализации мероприятий государственной программы развития агропромышленного комплекса в автономном округе между органами местного самоуправления муниципальных образований автономного округа и Департаментом, анализ соблюдения сторонами условий соглашений в части финансовой составляющей и юридической техники;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организация подготовки и согласования соглашений (дополнительных соглашений) о реализации Государственной программы развития сельского хозяйства между Минсельхозом России и Правительством автономного округа;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предоставление государственных услуг сельскохозяйственным товаропроизводителям с последующей подготовкой отчетов по направлениям: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предоставление субсидий в виде грантов на создание и развитие крестьянских (фермерских) хозяйств (в том числе с привлечением средств федерального бюджета);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предоставление субсидий на возмещение части процентной ставки по кредитам (займам) (в том числе с привлечением федерального бюджета);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предоставление субсидий на возмещение части затрат сельскохозяйственных товаропроизводителей на уплату страховых премий по договорам страхования;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содействие в организации и проведении выставок-ярмарок, окружных конкурсов сельскохозяйственных товаропроизводителей;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ввод информации и заполнение отчетов в Автоматизированных системах, по направлению агропромышленного комплекса: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АИС «Мониторинг Югра»;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ГАС «Управление»;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ТИС Югра;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АИС «Субсидия АПК»;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  <w:lang w:eastAsia="en-US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АИС «Свод отчетов АПК»</w:t>
            </w:r>
          </w:p>
          <w:p>
            <w:pPr>
              <w:pStyle w:val="Normal"/>
              <w:spacing w:before="0" w:after="0"/>
              <w:ind w:left="0" w:firstLine="70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Портал открытых данных Югры;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исполнение бюджета главного распорядителя, получателя бюджетных средств в отнесенной к компетенции деятельности Управления;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прием и обработку поступивших заявок от муниципальных образований автономного округа по предоставлению субвенций на поддержку агропромышленного комплекса, формирование сводной заявки, направление в Департамент финансов автономного округа;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прием поступивших от муниципальных образований отчетов об осуществлении переданного полномочия по поддержке сельскохозяйственного производства, их обработка в части финансирования мероприятий государственной программы;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 xml:space="preserve">- формирование комплексного плана реализации государственной программы (утверждение приказом Департамента) и внесение изменений; </w:t>
            </w:r>
          </w:p>
          <w:p>
            <w:pPr>
              <w:pStyle w:val="Normal"/>
              <w:spacing w:before="0" w:after="200"/>
              <w:ind w:left="0" w:firstLine="708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eastAsia="en-US"/>
              </w:rPr>
              <w:t>- ведение реестра субъектов малого и среднего предпринимательства получателей средств государственной поддержки в рамках государственной программы;</w:t>
            </w:r>
          </w:p>
          <w:p>
            <w:pPr>
              <w:pStyle w:val="Normal"/>
              <w:spacing w:lineRule="auto" w:line="240" w:before="0" w:after="200"/>
              <w:ind w:left="0" w:firstLine="708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en-US"/>
              </w:rPr>
              <w:t>- реализацию Федерального закона от 09 июля 2002 года № 83-ФЗ «О финансовом оздоровлении сельскохозяйственных товаропроизводителей».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работу с документами;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внутреннего взаимодействия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Не менее двух лет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11" w:type="dxa"/>
            </w:tcMar>
          </w:tcPr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Своевременное и эффективное использование  бюджетных средств по направлению развития агропромышленного комплекса в рамках Государственных программ;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обеспечение выполнения плана мероприятий управления;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соблюдения установленных сроков сдачи полной и достоверной отчетности по направлениям деятельности управления.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Знания и умения в области проектного управления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Знания: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терминов, принципов и порядка управления проектами;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порядка планирования, реализации, закрытия проекта,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методов управления содержанием, ресурсами проекта, процессов управления человеческими ресурсами проекта, требований к человеческим ресурсам;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Умения: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эффективного выполнения процессов подготовки, согласования и ведения управленческой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использования современного ПО в области управления проектами;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планирования человеческих ресурсов проекта, определения состава человеческих ресурсов, требуемых для выполнения проекта, согласования с владельцами ресурсов выделения ресурсов на проект;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развития команды проекта: повышения квалификации, улучшения взаимодействия, поддержки и воодушевления членов команды для эффективности их работы, контроля деятельности команды проекта.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умения.</w:t>
            </w:r>
          </w:p>
          <w:p>
            <w:pPr>
              <w:pStyle w:val="Normal"/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b/>
                <w:b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>
            <w:pPr>
              <w:pStyle w:val="Normal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оперативно принимать и реализовывать управленческие решения.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приоритеты государственной политики в области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 методы обобщения и анализа результатов деятельности Управления;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критерии и показатели социальной и экономической эффективности.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принципы предоставления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требования к предоставлению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порядок, требования, этапы и принципы разработки и применения административного регламента;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 предоставления  государственных услуг в электронной форме;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понятие и принципы функционирования, назначение портала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права заявителей при получении 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обязанности государственных органов, предоставляющих  государственные услуги;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стандарт предоставления  государственной услуги: требования и порядок разработки.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 эффективность коммуникаций;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стратегическое видение/мышление;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командное взаимодействие.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лидерство;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настойчивость;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инициативность;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дисциплинированность;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самостоятельность;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мотивация достижения.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ascii="Times New Roman" w:hAnsi="Times New Roman"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ascii="Times New Roman" w:hAnsi="Times New Roman"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ascii="Times New Roman" w:hAnsi="Times New Roman"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Application>LibreOffice/6.1.1.2$Windows_X86_64 LibreOffice_project/5d19a1bfa650b796764388cd8b33a5af1f5baa1b</Application>
  <Pages>5</Pages>
  <Words>1099</Words>
  <Characters>9033</Characters>
  <CharactersWithSpaces>9999</CharactersWithSpaces>
  <Paragraphs>154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2018-12-17T18:24:03Z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