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начальника отдела развития пищевой промышленности 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Управления агропромышленного комплекса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Департамента промышленности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Ханты-Мансийского автономного округа – Югры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none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«Руководители» группа «Главные»)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0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7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Начальник отдела развития пищевой промышленности Управления агропромышленного комплекса Департамента промышленности Ханты-Мансийского автономного округа – Югры.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Создание условий для развития агропромышленного комплекса и пищевой промышленности в                     автономном округе, реализация государственной политики, нормативное правовое регулирование в сфере агропромышленного комплекса и пищевой промышленности.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27" w:type="dxa"/>
            </w:tcMar>
          </w:tcPr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Подчиняется начальнику Управления агропромышленного комплекса Департамента.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 штатных единиц в отделе.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right="144"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руководство деятельностью отдела развития пищевой промышленности Управления агропромышленного комплекса;</w:t>
            </w:r>
          </w:p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мероприятия по организации и регулированию промышленного, любительского и спортивного рыболовства, рыболовства в целях обеспечения традиционного образа жизни и осуществления традиционной хозяйственной деятельности коренными малочисленными народами Севера на территории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участвует в формировании предложений по распределению общих допустимых уловов водных биологических ресурсов для промышленного рыболовства, организации любительского и спортивного рыболовства, рыболовства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на предстоящий календарный год для федерального органа исполнительной власти в области рыболовства;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контроль за предоставление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/>
              </w:rPr>
              <w:t>м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 государственных услуг, курируемых отделом;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контроль за своевременностью и объективностью представления в федеральный орган исполнительной власти в области рыболовства документированной информации для внесения ее в государственный рыбохозяйственный реестр; контроль за внесением информации в территориальную информационную систему автономного округа в рамках компетенции отдела;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осуществляет работу по определению границ рыбопромысловых </w:t>
            </w:r>
            <w:r>
              <w:rPr>
                <w:rFonts w:ascii="Times New Roman" w:hAnsi="Times New Roman"/>
                <w:sz w:val="22"/>
                <w:szCs w:val="22"/>
              </w:rPr>
              <w:t>(рыболовных)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рыбоводных участков на территории автономного округа; 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- осуществляет организацию и проведение конкурсов на право заключения договоров о предоставлении рыбопромысловых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(рыболовных)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 участков для осуществления промышленного рыболовства, организации любительского и спортивного рыболовства,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</w:t>
            </w:r>
            <w:r>
              <w:rPr>
                <w:rFonts w:eastAsia="Times New Roman" w:cs="Times New Roman" w:ascii="Times New Roman" w:hAnsi="Times New Roman"/>
                <w:i/>
                <w:sz w:val="22"/>
                <w:szCs w:val="22"/>
                <w:lang w:eastAsia="ru-RU"/>
              </w:rPr>
              <w:t>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ascii="Times New Roman" w:hAnsi="Times New Roman"/>
                <w:sz w:val="22"/>
                <w:szCs w:val="22"/>
                <w:lang w:eastAsia="ru-RU"/>
              </w:rPr>
              <w:t xml:space="preserve">- участвует в реализации государственных программ автономного округа в соответствии с функциями отдела,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в мероприятиях по определению приоритетных направлений развития пищевой промышленности, рыболовства и аквакультуры (рыбоводства) в автономном округе 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Style w:val="FontStyle12"/>
                <w:rFonts w:eastAsia="Times New Roman"/>
                <w:sz w:val="22"/>
                <w:szCs w:val="22"/>
                <w:lang w:eastAsia="ru-RU"/>
              </w:rPr>
              <w:t xml:space="preserve">- участвует в </w:t>
            </w:r>
            <w:r>
              <w:rPr>
                <w:rFonts w:ascii="Times New Roman" w:hAnsi="Times New Roman"/>
                <w:sz w:val="22"/>
                <w:szCs w:val="22"/>
              </w:rPr>
              <w:t>обеспечении деятельности территориального рыбохозяйственного Совета при Правительстве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осуществляет контроль выполнения рыбохозяйственных мероприятий в пределах полномочий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а также принимает участие в конференциях, семинарах, совещаниях, выставках и других мероприятиях по вопросам, касающимся деятельности отдела.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работа с документами;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оказания государственных услуг;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внутреннего взаимодействия.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– специалитет, магистратура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менее двух лет стажа государственной службы или стажа работы по специальности, направлению подготовки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Не менее двух лет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-обеспечение выполнения плана мероприятий отдела, 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исполнения поручений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требований к служебному поведению и служебному распорядку Департамента,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выполнение целевых показателей по направлению деятельности отдела.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2"/>
                <w:szCs w:val="22"/>
                <w:u w:val="none"/>
                <w:lang w:eastAsia="zh-CN"/>
              </w:rPr>
              <w:t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владение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работа с системами межведомственного взаимодействия, управление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i/>
                <w:iCs w:val="false"/>
                <w:u w:val="none"/>
                <w:lang w:eastAsia="zh-CN"/>
              </w:rPr>
              <w:t>и другие.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Знания и умения в области проектного управления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Знания: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терминов, принципов и порядка управления проектами;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порядка планирования, реализации, закрытия проекта,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методов управления содержанием, ресурсами проекта, процессов управления человеческими ресурсами проекта, требований к человеческим ресурсам.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Умения: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эффективное выполнение процессов подготовки, согласования и ведения управленческой документации;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использование современного ПО в области управления проектами;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планирование человеческих ресурсов проекта, определения состава человеческих ресурсов, требуемых для выполнения проекта, согласования с владельцами ресурсов выделения ресурсов на проект;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ru-RU"/>
              </w:rPr>
              <w:t>- развитие команды проекта: повышения квалификации, улучшения взаимодействия, поддержки и воодушевления членов команды для эффективности их работы, контроля деятельности команды проекта.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Наличие знаний порядка рассмотрения обращений граждан, основ делопроизводства и документооборота.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умение совершенствовать свой профессиональный уровень.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эффективно планировать, организовывать работу и контролировать ее выполнение.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приоритетов государственной политики в области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понятие проекта нормативного правового акта, инструменты </w:t>
              <w:br/>
              <w:t>и этапы его разработки;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ведения сельскохозяйственного производства в условиях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меры государственной поддержки агропромышленного комплекса из федерального и регионального бюджетов;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приоритетные направления в сфере агропромышленного комплекса и пищевой промышленности.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eastAsia="zh-CN"/>
              </w:rPr>
              <w:t xml:space="preserve"> эффективность коммуникаций;</w:t>
            </w:r>
          </w:p>
          <w:p>
            <w:pPr>
              <w:pStyle w:val="Normal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4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работа в команде.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аналитическое мышление;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исполнительность;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Start w:id="2" w:name="_Toc370808735"/>
            <w:bookmarkStart w:id="3" w:name="_Toc371446514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  <w:bookmarkEnd w:id="2"/>
            <w:bookmarkEnd w:id="3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4" w:name="_Toc370808739"/>
            <w:bookmarkStart w:id="5" w:name="_Toc371446518"/>
            <w:bookmarkEnd w:id="4"/>
            <w:bookmarkEnd w:id="5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обучаемость;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6" w:name="_Toc370808745"/>
            <w:bookmarkStart w:id="7" w:name="_Toc371446524"/>
            <w:bookmarkStart w:id="8" w:name="_Toc3708087391"/>
            <w:bookmarkStart w:id="9" w:name="_Toc3714465181"/>
            <w:bookmarkEnd w:id="8"/>
            <w:bookmarkEnd w:id="9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ответственность;</w:t>
            </w:r>
            <w:bookmarkEnd w:id="6"/>
            <w:bookmarkEnd w:id="7"/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10" w:name="_Toc370808757"/>
            <w:bookmarkStart w:id="11" w:name="_Toc371446536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пунктуальность;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End w:id="10"/>
            <w:bookmarkEnd w:id="11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стрессоустойчивость;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целеустремленность.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Style13">
    <w:name w:val="Символ концевой сноски"/>
    <w:qFormat/>
    <w:rPr/>
  </w:style>
  <w:style w:type="character" w:styleId="Style14">
    <w:name w:val="Привязка концевой сноски"/>
    <w:rPr>
      <w:vertAlign w:val="superscript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  <w:sz w:val="22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  <w:sz w:val="22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  <w:sz w:val="22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ascii="Times New Roman" w:hAnsi="Times New Roman"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ascii="Times New Roman" w:hAnsi="Times New Roman"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ascii="Times New Roman" w:hAnsi="Times New Roman" w:cs="Symbol"/>
      <w:sz w:val="22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Wingdings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20">
    <w:name w:val="End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LibreOffice/6.1.1.2$Windows_X86_64 LibreOffice_project/5d19a1bfa650b796764388cd8b33a5af1f5baa1b</Application>
  <Pages>5</Pages>
  <Words>1177</Words>
  <Characters>9622</Characters>
  <CharactersWithSpaces>10698</CharactersWithSpaces>
  <Paragraphs>147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2018-11-19T10:29:31Z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