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главного специалиста - эксперта отдела реализации программ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 xml:space="preserve">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Департамента промышленности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«Специалисты» группа «Старшие»)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0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Главный специалист-эксперт отдела реализации программ Управления агропромышленного комплекса Департамента промышленности Ханты-Мансийского автономного округа – Югры.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1118" w:leader="none"/>
              </w:tabs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Создание условий для развития агропромышленного комплекса в автономном округе, реализация государственной политики в сфере агропромышленного комплекса.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22" w:type="dxa"/>
            </w:tcMar>
          </w:tcPr>
          <w:p>
            <w:pPr>
              <w:pStyle w:val="NoSpacing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Подчиняется начальнику отдела реализации программ Управления агропромышленного комплекса Департамента.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Отсутствуют.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144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ф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ормирование бухгалтерской и финансовой отчетности в сфере агропромышленного комплекса;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подготовк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а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соглашений (дополнительных соглашений) о реализации мероприятий государственной программы развития агропромышленного комплекса в автономном округе между органами местного самоуправления муниципальных образований автономного округа и Департаментом, анализ соблюдения сторонами условий соглашений в части финансовой составляющей и юридической техники;</w:t>
            </w:r>
          </w:p>
          <w:p>
            <w:pPr>
              <w:pStyle w:val="Normal"/>
              <w:spacing w:lineRule="auto" w:line="240" w:before="57" w:after="57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подготовк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а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соглашени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й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(дополнительны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х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соглашения) о реализации Государственной программы развития сельского хозяйства между Минсельхозом России и Правительством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- предоставление государственных услуг сельскохозяйственным товаропроизводителям, 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в курируемой сфере деятельности отдела,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 с последующей подготовкой отчетов;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подготовк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а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 документов для получения средств федерального бюджета в рамках реализации мероприятий по государственной поддержке агропромышленного комплекса (в том числе формирование заявки на предоставление субсидий из федерального бюджета);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прием и обработк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а</w:t>
            </w: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 поступивших заявок от муниципальных образований автономного округа по предоставлению субсидий на поддержку агропромышленного комплекса, формирование сводной заявки, направление в Департамент финансов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контрольные мероприятия в части исполнения обязательств, целевого использования субсидий сельскохозяйственными товаропроизводителями – получателями государственной поддержки, в финансовой части, а также субвенций Уполномоченными органами местного самоуправления;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прием отчетных документов, анализ и систематизация финансово-экономического состояния организаций агропромышленного комплекса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ведение реестра субъектов малого и среднего предпринимательства получателей средств государственной поддержки в рамках государственной программы;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en-US"/>
              </w:rPr>
              <w:t>- содействие организации и проведению окружных конкурсов сельскохозяйственных товаропроизводителей;</w:t>
            </w:r>
          </w:p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ввод информации и запол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ение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отчет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ов</w:t>
            </w: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 в Автоматизированных системах, по направлению агропромышленного комплекса: ИС ПК ГП; ТИС Югра; АИС «Субсидии АПК».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работа с документами;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оказание государственных услуг;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внутреннее взаимодействие.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 xml:space="preserve">Требование к наличию стажа государственной службы и стажа работы по специальности, направлению подготовки </w:t>
            </w:r>
            <w:bookmarkStart w:id="2" w:name="__DdeLink__1906_1075469840"/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предъявляется</w:t>
            </w:r>
            <w:bookmarkEnd w:id="2"/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предъявляется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-обеспечение выполнения плана мероприятий отдела,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отдела,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 поведению и служебному распорядку Департамента,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2"/>
                <w:szCs w:val="22"/>
                <w:u w:val="none"/>
                <w:lang w:eastAsia="zh-CN"/>
              </w:rPr>
              <w:t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754" w:hanging="0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i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владение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работа с системами межведомственного взаимодействия, управление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и другие.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умение совершенствовать свой профессиональный уровень.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умение эффективно планировать, организовывать работу и контролировать ее выполнение.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приоритетов государственной политики в области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понятие проекта нормативного правового акта, инструменты </w:t>
              <w:br/>
              <w:t>и этапы его разработки;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приоритетные направления в сфере агропромышленного комплекса.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eastAsia="zh-CN"/>
              </w:rPr>
              <w:t xml:space="preserve"> эффективность коммуникаций;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4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0" w:leader="none"/>
                <w:tab w:val="left" w:pos="33" w:leader="none"/>
                <w:tab w:val="left" w:pos="142" w:leader="none"/>
              </w:tabs>
              <w:spacing w:lineRule="auto" w:line="240" w:before="0" w:after="0"/>
              <w:ind w:lef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работа в команде.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аналитическое мышление;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исполнительность;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bookmarkStart w:id="3" w:name="_Toc371446514"/>
            <w:bookmarkStart w:id="4" w:name="_Toc370808735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</w:t>
            </w:r>
            <w:bookmarkEnd w:id="3"/>
            <w:bookmarkEnd w:id="4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 </w:t>
            </w:r>
            <w:bookmarkStart w:id="5" w:name="_Toc371446518"/>
            <w:bookmarkStart w:id="6" w:name="_Toc370808739"/>
            <w:bookmarkEnd w:id="5"/>
            <w:bookmarkEnd w:id="6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обучаемость;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- </w:t>
            </w:r>
            <w:bookmarkStart w:id="7" w:name="_Toc371446524"/>
            <w:bookmarkStart w:id="8" w:name="_Toc370808745"/>
            <w:bookmarkStart w:id="9" w:name="_Toc3714465181"/>
            <w:bookmarkStart w:id="10" w:name="_Toc3708087391"/>
            <w:bookmarkEnd w:id="9"/>
            <w:bookmarkEnd w:id="10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ответственность;</w:t>
            </w:r>
            <w:bookmarkEnd w:id="7"/>
            <w:bookmarkEnd w:id="8"/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- </w:t>
            </w:r>
            <w:bookmarkStart w:id="11" w:name="_Toc371446536"/>
            <w:bookmarkStart w:id="12" w:name="_Toc370808757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пунктуальность;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bookmarkEnd w:id="11"/>
            <w:bookmarkEnd w:id="12"/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стрессоустойчивость;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целеустремленность.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Style13">
    <w:name w:val="Символ концевой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  <w:sz w:val="22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  <w:sz w:val="22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  <w:sz w:val="22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  <w:sz w:val="22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character" w:styleId="ListLabel157">
    <w:name w:val="ListLabel 157"/>
    <w:qFormat/>
    <w:rPr>
      <w:rFonts w:cs="Symbol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Wingdings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Wingdings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Wingdings"/>
    </w:rPr>
  </w:style>
  <w:style w:type="character" w:styleId="ListLabel166">
    <w:name w:val="ListLabel 166"/>
    <w:qFormat/>
    <w:rPr>
      <w:rFonts w:cs="Symbol"/>
      <w:sz w:val="22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Wingdings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Wingdings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Courier New"/>
    </w:rPr>
  </w:style>
  <w:style w:type="character" w:styleId="ListLabel174">
    <w:name w:val="ListLabel 174"/>
    <w:qFormat/>
    <w:rPr>
      <w:rFonts w:cs="Wingdings"/>
    </w:rPr>
  </w:style>
  <w:style w:type="character" w:styleId="ListLabel175">
    <w:name w:val="ListLabel 175"/>
    <w:qFormat/>
    <w:rPr>
      <w:rFonts w:cs="Symbol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Wingdings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Courier New"/>
    </w:rPr>
  </w:style>
  <w:style w:type="character" w:styleId="ListLabel180">
    <w:name w:val="ListLabel 180"/>
    <w:qFormat/>
    <w:rPr>
      <w:rFonts w:cs="Wingdings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20">
    <w:name w:val="End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LibreOffice/6.1.1.2$Windows_X86_64 LibreOffice_project/5d19a1bfa650b796764388cd8b33a5af1f5baa1b</Application>
  <Pages>5</Pages>
  <Words>989</Words>
  <Characters>8189</Characters>
  <CharactersWithSpaces>9061</CharactersWithSpaces>
  <Paragraphs>136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2018-11-19T11:20:01Z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