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консультанта отдела развития пищевой промышленности 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Управления агропромышленного комплекса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Департамента промышленности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Ханты-Мансийского автономного округа – Югры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none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«Специалисты» группа «Главные»)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2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Консультант отдела развития пищевой промышленности Управления агропромышленного комплекса Департамента промышленности Ханты-Мансийского автономного округа – Югры.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eastAsia="ru-RU"/>
              </w:rPr>
              <w:t>Создание условий для развития агропромышленного комплекса и пищевой промышленности в                     автономном округе, реализация государственной политики, нормативное правовое регулирование в сфере агропромышленного комплекса и пищевой промышленности.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37" w:type="dxa"/>
            </w:tcMar>
          </w:tcPr>
          <w:p>
            <w:pPr>
              <w:pStyle w:val="NoSpacing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Подчиняется начальнику отдела развития пищевой промышленности Управления агропромышленного комплекса Департамента. 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Отсутствуют.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right="144"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организует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взаимодействие с организациями, реализующими свою деятельность в сфере рыбохозяйственного комплекса и производства пищевых продуктов и напитков;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мероприятия по организации и регулированию промышленного, любительского и спортивного рыболовства, рыболовства в целях обеспечения традиционного образа жизни и осуществления традиционной хозяйственной деятельности коренными малочисленными народами Севера на территории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участвует в формировании предложений по распределению общих допустимых уловов водных биологических ресурсов для промышленного рыболовства, организации любительского и спортивного рыболовства, рыболовства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на предстоящий календарный год для федерального органа исполнительной власти в области рыболовства;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организацию предоставления государственных услуг, курируемых отделом развития пищевой промышленности;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участвует в организации приема заявок и организует работу с заявками (заявлениями) на получение квот добычи (вылова) водных биологических ресурсов для промышленного рыболовства, любительского и спортивного рыболовства, традиционного рыболовства;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- осуществляет подготовку  проектов договоров о закреплении долей квот добычи (вылова) водных биологических ресурсов, договоров пользования водными биологическими ресурсами, общий допустимый улов которых не устанавливается, договоров о предоставлении рыбопромыслового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(рыболовного)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участка в пользование для осуществления промышленного рыболовства;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подготовку документированной информации для внесения ее в государственный рыбохозяйственный реестр, представление в федеральный орган исполнительной власти в области рыболовства;</w:t>
            </w:r>
          </w:p>
          <w:p>
            <w:pPr>
              <w:pStyle w:val="Normal"/>
              <w:spacing w:before="0" w:after="16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осуществляет внесение информации в территориальную информационную систему автономного округа, в Государственную автоматизированную систему «Управление», в рамках компетенции отдела.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работа с документами;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оказание государственных услуг;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внутреннее взаимодействие.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– специалитет, магистратура 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 направлениям подготовки (специальности(-ям) профессионального образования: специализированное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менее двух лет стажа государственной службы или стажа работы по специальности, направлению подготовки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Не менее двух лет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-обеспечение выполнения плана мероприятий отдела, 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исполнения поручений начальника отдела, начальника Управления, заместителя директора Департамента, директора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соблюдение требований к служебному поведению и служебному распорядку Департамента, Кодекса профессиональной этики государственных гражданских служащих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выполнение целевых показателей по направлению деятельности отдела.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2"/>
                <w:szCs w:val="22"/>
                <w:u w:val="none"/>
                <w:lang w:eastAsia="zh-CN"/>
              </w:rPr>
              <w:t>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54" w:hanging="0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i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владение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работа с системами межведомственного взаимодействия, управление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 другие.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Наличие знаний порядка рассмотрения обращений граждан, основ делопроизводства и документооборота.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умение совершенствовать свой профессиональный уровень.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эффективно планировать, организовывать работу и контролировать ее выполнение.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приоритетов государственной политики в области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8"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подготовка проектов нормативных правовых актов, программ, концепций;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применение нормативных правовых актов в практической деятельности;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/>
            </w:pPr>
            <w:bookmarkStart w:id="2" w:name="__DdeLink__3855_3025043969"/>
            <w:r>
              <w:rPr>
                <w:rFonts w:eastAsia="Times New Roman" w:cs="Times New Roman" w:ascii="Times New Roman" w:hAnsi="Times New Roman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данных.</w:t>
            </w:r>
            <w:bookmarkEnd w:id="2"/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понятие проекта нормативного правового акта, инструменты </w:t>
              <w:br/>
              <w:t>и этапы его разработки;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ведения сельскохозяйственного производства в условиях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меры государственной поддержки агропромышленного комплекса из федерального и регионального бюджетов;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приоритетные направления в сфере агропромышленного комплекса.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eastAsia="zh-CN"/>
              </w:rPr>
              <w:t xml:space="preserve"> эффективность коммуникаций;</w:t>
            </w:r>
          </w:p>
          <w:p>
            <w:pPr>
              <w:pStyle w:val="Normal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4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работа в команде.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аналитическое мышление;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исполнительность;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Start w:id="3" w:name="_Toc370808735"/>
            <w:bookmarkStart w:id="4" w:name="_Toc371446514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  <w:bookmarkEnd w:id="3"/>
            <w:bookmarkEnd w:id="4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5" w:name="_Toc370808739"/>
            <w:bookmarkStart w:id="6" w:name="_Toc371446518"/>
            <w:bookmarkEnd w:id="5"/>
            <w:bookmarkEnd w:id="6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обучаемость;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7" w:name="_Toc370808745"/>
            <w:bookmarkStart w:id="8" w:name="_Toc371446524"/>
            <w:bookmarkStart w:id="9" w:name="_Toc3708087391"/>
            <w:bookmarkStart w:id="10" w:name="_Toc3714465181"/>
            <w:bookmarkEnd w:id="9"/>
            <w:bookmarkEnd w:id="10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ответственность;</w:t>
            </w:r>
            <w:bookmarkEnd w:id="7"/>
            <w:bookmarkEnd w:id="8"/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11" w:name="_Toc370808757"/>
            <w:bookmarkStart w:id="12" w:name="_Toc371446536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пунктуальность;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End w:id="11"/>
            <w:bookmarkEnd w:id="12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стрессоустойчивость;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целеустремленность.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Style13">
    <w:name w:val="Символ концевой сноски"/>
    <w:qFormat/>
    <w:rPr/>
  </w:style>
  <w:style w:type="character" w:styleId="Style14">
    <w:name w:val="Привязка концевой сноски"/>
    <w:rPr>
      <w:vertAlign w:val="superscript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  <w:sz w:val="22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Times New Roman" w:hAnsi="Times New Roman" w:cs="Symbol"/>
      <w:sz w:val="22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ascii="Times New Roman" w:hAnsi="Times New Roman" w:cs="Symbol"/>
      <w:sz w:val="22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20">
    <w:name w:val="End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LibreOffice/6.1.1.2$Windows_X86_64 LibreOffice_project/5d19a1bfa650b796764388cd8b33a5af1f5baa1b</Application>
  <Pages>5</Pages>
  <Words>1002</Words>
  <Characters>8272</Characters>
  <CharactersWithSpaces>9185</CharactersWithSpaces>
  <Paragraphs>134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2018-11-19T10:28:56Z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