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1"/>
        <w:spacing w:lineRule="auto" w:line="240" w:before="0" w:after="200"/>
        <w:jc w:val="center"/>
        <w:rPr/>
      </w:pPr>
      <w:r>
        <w:rPr>
          <w:rFonts w:ascii="Times New Roman" w:hAnsi="Times New Roman"/>
          <w:i/>
          <w:iCs/>
          <w:color w:val="auto"/>
          <w:sz w:val="24"/>
          <w:szCs w:val="24"/>
          <w:u w:val="single"/>
        </w:rPr>
        <w:t xml:space="preserve">заместителя начальника Управления – начальник отдела развития агропромышленного комплекса Управления агропромышленного комплекса Департамента промышленности </w:t>
      </w:r>
      <w:r>
        <w:rPr>
          <w:rFonts w:eastAsia="Times New Roman" w:cs="Times New Roman" w:ascii="Times New Roman" w:hAnsi="Times New Roman"/>
          <w:b/>
          <w:i/>
          <w:color w:val="auto"/>
          <w:sz w:val="24"/>
          <w:szCs w:val="24"/>
          <w:u w:val="single"/>
          <w:lang w:eastAsia="ru-RU"/>
        </w:rPr>
        <w:t>Ханты-Мансийского автономного округа – Югры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«Руководители»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4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1"/>
              <w:spacing w:lineRule="auto" w:line="240" w:before="0" w:after="200"/>
              <w:ind w:left="54" w:right="144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color w:val="auto"/>
                <w:sz w:val="24"/>
                <w:szCs w:val="24"/>
                <w:u w:val="none"/>
                <w:lang w:eastAsia="ru-RU"/>
              </w:rPr>
              <w:t>Заместитель начальника Управления – начальник отдела развития агропромышленного комплекса Управления агропромышленного комплекса Департамента промышленности                                Ханты-Мансийского автономного округа – Югры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2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Создание условий для развития агропромышленного комплекса в автономном округе, реализация государственной политики, нормативное правовое регулирование в сфере агропромышленного комплекса.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47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ru-RU" w:eastAsia="ru-RU"/>
              </w:rPr>
              <w:t xml:space="preserve">Подчиняется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начальнику Управления агропромышленного комплекса Департамента.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u w:val="none"/>
                <w:lang w:eastAsia="ru-RU"/>
              </w:rPr>
              <w:t>16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штатных единиц в Управлении.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руководство деятельностью отдела развития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планирование деятельности отдела в соответствии с планом работы Департамента, планом основных мероприятий Правительства автономного округа, иными принятыми и утвержденными в установленном порядке планами работ по основной деятельности;</w:t>
            </w:r>
          </w:p>
          <w:p>
            <w:pPr>
              <w:pStyle w:val="Normal"/>
              <w:tabs>
                <w:tab w:val="clear" w:pos="708"/>
                <w:tab w:val="left" w:pos="600" w:leader="none"/>
                <w:tab w:val="left" w:pos="120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подготовку проектов нормативных и правовых актов, договоров, соглашений, писем и иных документов Департамента;</w:t>
            </w:r>
          </w:p>
          <w:p>
            <w:pPr>
              <w:pStyle w:val="Normal"/>
              <w:tabs>
                <w:tab w:val="clear" w:pos="708"/>
                <w:tab w:val="left" w:pos="600" w:leader="none"/>
                <w:tab w:val="left" w:pos="120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мониторинг состояния отраслей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осуществление мероприятий по определению приоритетных направлений развития агропромышленного комплекса в автономном округе,  по обеспечению продовольственной безопасности;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организацию проведения процедуры определения статуса сельскохозяйственного товаропроизводителя; 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сопровождение проектов в сфере агропромышленного комплекса с целью предоставления мер государственной поддержки из федерального бюджета и бюджета автономного округа, проведение проверки документов;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600" w:leader="none"/>
                <w:tab w:val="left" w:pos="120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- предоставление государственных услуг сельскохозяйственным товаропроизводителям, в рамках компетенции отдела;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600" w:leader="none"/>
                <w:tab w:val="left" w:pos="1200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  <w:lang w:eastAsia="ru-RU"/>
              </w:rPr>
              <w:t>- консультирование сельскохозяйственных товаропроизводителей по вопросам предоставления государственной поддержки в сфере агропромышленного комплекса;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принимает участие в контрольных мероприятиях в части исполнения обязательств, целевого использования субвенций Уполномоченными органами местного самоуправления;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управления, а также принимает участие в конференциях, семинарах, совещаниях, выставках и других мероприятиях по вопросам, касающимся деятельности отдела, управления.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работу с документами;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оказания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внутреннего взаимодействия.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по направлениям подготовки (специальности(-ям) профессионального образования: специализированное 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Не менее двух лет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11" w:type="dxa"/>
            </w:tcMar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 отдела;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обеспечение выполнения плана мероприятий Управления;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eastAsia="Calibri" w:ascii="Times New Roman" w:hAnsi="Times New Roman" w:eastAsiaTheme="minorHAnsi"/>
                <w:sz w:val="22"/>
                <w:szCs w:val="22"/>
              </w:rPr>
              <w:t xml:space="preserve">- своевременность принятия управленческих решений по всем вопросам в рамках полномочий отдела;  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исполнения поручений начальника Управления, заместителя директора Департамента, директора Департамента;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своевременность подготовки проектов ответов на обращения, запросы, представления, информации;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отсутствие установленных фактов нарушений законодательства Российской Федерации, законодательства автономного округа и иных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2"/>
                <w:szCs w:val="22"/>
              </w:rPr>
              <w:t>ормативных правовых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соблюдение требований к служебному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поведению и </w:t>
            </w:r>
            <w:r>
              <w:rPr>
                <w:rFonts w:ascii="Times New Roman" w:hAnsi="Times New Roman"/>
                <w:sz w:val="22"/>
                <w:szCs w:val="22"/>
              </w:rPr>
              <w:t>служебного распорядка исполнительного органа государственной власти автономного округа, Кодекса профессиональной этики государственных гражданских служащих автономного округа;</w:t>
            </w:r>
          </w:p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>- выполнение целевых показателей по направлению деятельности Отдела.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143"/>
        <w:gridCol w:w="283"/>
        <w:gridCol w:w="7229"/>
      </w:tblGrid>
      <w:tr>
        <w:trPr>
          <w:trHeight w:val="507" w:hRule="atLeast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Знания и умения в области проектного управления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Знания: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терминов, принципов и порядка управления проектами;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порядка планирования, реализации, закрытия проекта,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методов управления содержанием, ресурсами проекта, процессов управления человеческими ресурсами проекта, требований к человеческим ресурсам.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Умения: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эффективного выполнения процессов подготовки, согласования и ведения управленческой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- использования современного ПО в области управления проектами;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планирования человеческих ресурсов проекта, определения состава человеческих ресурсов, требуемых для выполнения проекта, согласования с владельцами ресурсов выделения ресурсов на проект;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развития команды проекта: повышения квалификации, улучшения взаимодействия, поддержки и воодушевления членов команды для эффективности их работы, контроля деятельности команды проекта.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eastAsia="ru-RU"/>
              </w:rPr>
              <w:t>Наличие знаний порядка рассмотрения обращений граждан, основ делопроизводства и документооборота.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умения.</w:t>
            </w:r>
          </w:p>
          <w:p>
            <w:pPr>
              <w:pStyle w:val="Normal"/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b/>
                <w:b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>
            <w:pPr>
              <w:pStyle w:val="Normal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оперативно принимать и реализовывать управленческие решения.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приоритеты государственной политики в области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 методы обобщения и анализа результатов деятельности Управления;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критерии и показатели социальной и экономической эффективности.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данных).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принципы предоставления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требования к предоставлению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порядок, требования, этапы и принципы разработки и применения административного регламента;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 предоставления  государственных услуг в электронной форме;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понятие и принципы функционирования, назначение портала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права заявителей при получении 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обязанности государственных органов, предоставляющих  государственные услуги;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стандарт предоставления  государственной услуги: требования и порядок разработки.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 эффективность коммуникаций;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стратегическое видение/мышление;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командное взаимодействие.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лидерство;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настойчивость;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инициативность;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дисциплинированность;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самостоятельность;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мотивация достижения.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pPr>
      <w:keepNext w:val="true"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ascii="Times New Roman" w:hAnsi="Times New Roman"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LibreOffice/6.1.1.2$Windows_X86_64 LibreOffice_project/5d19a1bfa650b796764388cd8b33a5af1f5baa1b</Application>
  <Pages>5</Pages>
  <Words>1112</Words>
  <Characters>9192</Characters>
  <CharactersWithSpaces>10209</CharactersWithSpaces>
  <Paragraphs>151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2018-11-16T15:18:12Z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