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ПРОФИЛЬ ДОЛЖНОСТИ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/>
      </w:pPr>
      <w:r>
        <w:rPr>
          <w:rFonts w:eastAsia="Times New Roman" w:cs="Times New Roman" w:ascii="Times New Roman" w:hAnsi="Times New Roman"/>
          <w:b/>
          <w:i/>
          <w:color w:val="auto"/>
          <w:sz w:val="24"/>
          <w:szCs w:val="24"/>
          <w:u w:val="single"/>
          <w:lang w:eastAsia="ru-RU"/>
        </w:rPr>
        <w:t xml:space="preserve">главного специалиста - эксперта отдела развития пищевой промышленности  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/>
      </w:pPr>
      <w:r>
        <w:rPr>
          <w:rFonts w:eastAsia="Times New Roman" w:cs="Times New Roman" w:ascii="Times New Roman" w:hAnsi="Times New Roman"/>
          <w:b/>
          <w:i/>
          <w:color w:val="auto"/>
          <w:sz w:val="24"/>
          <w:szCs w:val="24"/>
          <w:u w:val="single"/>
          <w:lang w:eastAsia="ru-RU"/>
        </w:rPr>
        <w:t xml:space="preserve">Управления агропромышленного комплекса 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/>
      </w:pPr>
      <w:r>
        <w:rPr>
          <w:rFonts w:eastAsia="Times New Roman" w:cs="Times New Roman" w:ascii="Times New Roman" w:hAnsi="Times New Roman"/>
          <w:b/>
          <w:i/>
          <w:color w:val="auto"/>
          <w:sz w:val="24"/>
          <w:szCs w:val="24"/>
          <w:u w:val="single"/>
          <w:lang w:eastAsia="ru-RU"/>
        </w:rPr>
        <w:t>Департамента промышленности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/>
      </w:pPr>
      <w:r>
        <w:rPr>
          <w:rFonts w:eastAsia="Times New Roman" w:cs="Times New Roman" w:ascii="Times New Roman" w:hAnsi="Times New Roman"/>
          <w:b/>
          <w:i/>
          <w:color w:val="auto"/>
          <w:sz w:val="24"/>
          <w:szCs w:val="24"/>
          <w:u w:val="single"/>
          <w:lang w:eastAsia="ru-RU"/>
        </w:rPr>
        <w:t>Ханты-Мансийского автономного округа – Югры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/>
      </w:pPr>
      <w:r>
        <w:rPr>
          <w:rFonts w:eastAsia="Times New Roman" w:cs="Times New Roman" w:ascii="Times New Roman" w:hAnsi="Times New Roman"/>
          <w:b/>
          <w:i/>
          <w:color w:val="auto"/>
          <w:sz w:val="24"/>
          <w:szCs w:val="24"/>
          <w:u w:val="none"/>
          <w:lang w:eastAsia="ru-RU"/>
        </w:rPr>
        <w:t xml:space="preserve">      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(категория «Специалисты» группа «Старшие»)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tbl>
      <w:tblPr>
        <w:tblW w:w="9356" w:type="dxa"/>
        <w:jc w:val="left"/>
        <w:tblInd w:w="-12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single" w:sz="4" w:space="0" w:color="000000"/>
          <w:insideH w:val="outset" w:sz="6" w:space="0" w:color="000000"/>
          <w:insideV w:val="single" w:sz="4" w:space="0" w:color="000000"/>
        </w:tblBorders>
        <w:tblCellMar>
          <w:top w:w="15" w:type="dxa"/>
          <w:left w:w="1" w:type="dxa"/>
          <w:bottom w:w="15" w:type="dxa"/>
          <w:right w:w="28" w:type="dxa"/>
        </w:tblCellMar>
        <w:tblLook w:firstRow="1" w:noVBand="1" w:lastRow="0" w:firstColumn="1" w:lastColumn="0" w:noHBand="0" w:val="04a0"/>
      </w:tblPr>
      <w:tblGrid>
        <w:gridCol w:w="3686"/>
        <w:gridCol w:w="5669"/>
      </w:tblGrid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Основные сведения и обязанности</w:t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по должности</w:t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12" w:type="dxa"/>
              <w:right w:w="15" w:type="dxa"/>
            </w:tcMar>
            <w:vAlign w:val="center"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Требования к кандидатам</w:t>
            </w:r>
          </w:p>
        </w:tc>
      </w:tr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lang w:eastAsia="ru-RU"/>
              </w:rPr>
              <w:t xml:space="preserve">Наименование должности  </w:t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12" w:type="dxa"/>
              <w:right w:w="15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Главный специалист-эксперт отдела развития пищевой промышленности Управления агропромышленного комплекса Департамента промышленности                         Ханты-Мансийского автономного округа – Югры.</w:t>
            </w:r>
          </w:p>
        </w:tc>
      </w:tr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Область профессиональной служебной деятельности</w:t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12" w:type="dxa"/>
              <w:right w:w="15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Управление в сфере агропромышленного комплекса.</w:t>
            </w:r>
          </w:p>
        </w:tc>
      </w:tr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 xml:space="preserve">Виды профессиональной служебной деятельности </w:t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12" w:type="dxa"/>
              <w:right w:w="15" w:type="dxa"/>
            </w:tcMar>
          </w:tcPr>
          <w:p>
            <w:pPr>
              <w:pStyle w:val="Normal"/>
              <w:spacing w:lineRule="auto" w:line="240" w:before="0" w:after="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2"/>
                <w:szCs w:val="22"/>
                <w:lang w:eastAsia="ru-RU"/>
              </w:rPr>
              <w:t>Создание условий для развития агропромышленного комплекса и пищевой промышленности в                     автономном округе, реализация государственной политики, нормативное правовое регулирование в сфере агропромышленного комплекса и пищевой промышленности.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Подчиненность должности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32" w:type="dxa"/>
            </w:tcMar>
          </w:tcPr>
          <w:p>
            <w:pPr>
              <w:pStyle w:val="NoSpacing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 xml:space="preserve">Подчиняется начальнику отдела развития пищевой промышленности Управления агропромышленного комплекса Департамента. 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Количество подчиненных сотрудников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textAlignment w:val="baseline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Отсутствуют.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Условия работы (график и режим работы, оплата труда, частота командировок, допуск к государственной тайне, испытательный срок)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Продолжительность и режим работы:  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для мужчин - 40 часов в неделю,  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для женщин - 36 часов в неделю,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выходные дни - суббота и воскресенье,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ненормированный рабочий день.</w:t>
            </w:r>
          </w:p>
          <w:p>
            <w:pPr>
              <w:pStyle w:val="Normal"/>
              <w:spacing w:lineRule="auto" w:line="240" w:before="0" w:after="0"/>
              <w:ind w:right="144" w:hanging="0"/>
              <w:jc w:val="both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right="144"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Допуск к государственной тайне не предусмотрен.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 xml:space="preserve">Основные задачи и обязанности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по должности (кратко)</w:t>
            </w:r>
          </w:p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Times New Roman" w:cs="Times New Roman"/>
                <w:b/>
                <w:b/>
                <w:bCs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- организует </w:t>
            </w: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взаимодействие с организациями, реализующими свою деятельность в сфере рыбохозяйственного комплекса и производства пищевых продуктов и напитков;</w:t>
            </w:r>
          </w:p>
          <w:p>
            <w:pPr>
              <w:pStyle w:val="NoSpacing"/>
              <w:spacing w:lineRule="auto" w:line="240" w:before="0" w:after="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осуществляет мероприятия по организации и регулированию промышленного, любительского и спортивного рыболовства, рыболовства в целях обеспечения традиционного образа жизни и осуществления традиционной хозяйственной деятельности коренными малочисленными народами Севера на территории автономного округа;</w:t>
            </w:r>
          </w:p>
          <w:p>
            <w:pPr>
              <w:pStyle w:val="NoSpacing"/>
              <w:spacing w:lineRule="auto" w:line="240" w:before="0" w:after="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осуществляет предоставление государственных услуг, курируемых отделом развития пищевой промышленности;</w:t>
            </w:r>
          </w:p>
          <w:p>
            <w:pPr>
              <w:pStyle w:val="NoSpacing"/>
              <w:spacing w:lineRule="auto" w:line="240" w:before="0" w:after="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осуществляет подготовку и согласование Технологических схем предоставления государственных услуг, курируемых отделом;</w:t>
            </w:r>
          </w:p>
          <w:p>
            <w:pPr>
              <w:pStyle w:val="NoSpacing"/>
              <w:spacing w:lineRule="auto" w:line="240" w:before="0" w:after="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 xml:space="preserve">- осуществляет подготовку  проектов договоров о закреплении долей квот добычи (вылова) водных биологических ресурсов, договоров пользования водными биологическими ресурсами, общий допустимый улов которых не устанавливается, договоров о предоставлении рыбопромыслового </w:t>
            </w: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(рыболовного)</w:t>
            </w: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 xml:space="preserve"> участка в пользование для осуществления промышленного рыболовства;</w:t>
            </w:r>
          </w:p>
          <w:p>
            <w:pPr>
              <w:pStyle w:val="NoSpacing"/>
              <w:spacing w:lineRule="auto" w:line="240" w:before="0" w:after="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участвует в процедуре приема заявок и организует работу с заявками (заявлениями) на получение квот добычи (вылова) водных биологических ресурсов для промышленного рыболовства, любительского и спортивного рыболовства, традиционного рыболовства;</w:t>
            </w:r>
          </w:p>
          <w:p>
            <w:pPr>
              <w:pStyle w:val="Normal"/>
              <w:spacing w:before="0" w:after="160"/>
              <w:ind w:hanging="0"/>
              <w:jc w:val="both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- организует рабо</w:t>
            </w: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ту по определению границ рыбоводных участков во внутренних водах Российской Федерации в автономном округе.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Работа подразумевает: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работу с документами;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оказание государственных услуг;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внешние коммуникации (с гражданами, общественностью, сообществами и т.д.);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внутреннее взаимодействие;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другое_____________________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(выбрать)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работа с документами;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оказание государственных услуг;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внешние коммуникации (с гражданами, общественностью, сообществами и т.д.);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внутреннее взаимодействие.</w:t>
            </w:r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Образование кандидата:</w:t>
            </w:r>
          </w:p>
          <w:p>
            <w:pPr>
              <w:pStyle w:val="Normal"/>
              <w:spacing w:lineRule="auto" w:line="240" w:before="0" w:after="0"/>
              <w:ind w:left="360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уровень образования;</w:t>
            </w:r>
          </w:p>
          <w:p>
            <w:pPr>
              <w:pStyle w:val="Normal"/>
              <w:spacing w:lineRule="auto" w:line="240" w:before="0" w:after="0"/>
              <w:ind w:left="360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направление (при необходимости)</w:t>
            </w:r>
          </w:p>
          <w:p>
            <w:pPr>
              <w:pStyle w:val="Normal"/>
              <w:spacing w:lineRule="auto" w:line="240" w:before="0" w:after="0"/>
              <w:ind w:left="360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специальность (при необходимости)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/>
            </w:pPr>
            <w:r>
              <w:rPr>
                <w:rFonts w:eastAsia="Calibri" w:cs="Times New Roman" w:ascii="Times New Roman" w:hAnsi="Times New Roman"/>
                <w:lang w:eastAsia="ru-RU"/>
              </w:rPr>
              <w:t xml:space="preserve">Высшее образование 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по направлениям подготовки (специальности(-ям) профессионального образования: специализированное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Стаж работы: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по специальности;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государственной службы;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управленческий стаж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eastAsia="ru-RU"/>
              </w:rPr>
              <w:t xml:space="preserve">Требование к наличию стажа государственной службы и стажа работы по специальности, направлению подготовки </w:t>
            </w:r>
            <w:bookmarkStart w:id="2" w:name="__DdeLink__1906_1075469840"/>
            <w:r>
              <w:rPr>
                <w:rFonts w:eastAsia="Calibri" w:cs="Times New Roman" w:ascii="Times New Roman" w:hAnsi="Times New Roman"/>
                <w:sz w:val="22"/>
                <w:szCs w:val="22"/>
                <w:lang w:eastAsia="ru-RU"/>
              </w:rPr>
              <w:t>не предъявляется</w:t>
            </w:r>
            <w:bookmarkEnd w:id="2"/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 xml:space="preserve">Опыт работы в сфере агропромышленного комплекса 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hanging="0"/>
              <w:jc w:val="both"/>
              <w:rPr/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eastAsia="ru-RU"/>
              </w:rPr>
              <w:t>Не предъявляется</w:t>
            </w:r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Показатели эффективности и результативности деятельности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-соблюдение законодательства Российской Федерации, законодательства автономного округа и локальных нормативных актов в установленной сфере деятельности отдела;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-обеспечение выполнения плана мероприятий отдела, Управления;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- своевременность исполнения поручений начальника отдела, начальника Управления, заместителя директора Департамента, директора Департамента;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своевременность подготовки проектов ответов на обращения, запросы, представления, информации;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отсутствие установленных фактов нарушений законодательства Российской Федерации, законодательства автономного округа и иных нормативных правовых актов в установленной сфере деятельности;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соблюдение требований к служебному поведению и служебному распорядку Департамента, Кодекса профессиональной этики государственных гражданских служащих автономного округа;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выполнение целевых показателей по направлению деятельности отдела.</w:t>
            </w:r>
          </w:p>
        </w:tc>
      </w:tr>
    </w:tbl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  <w:t>Требования к знаниям и умениям (кратко):</w:t>
      </w:r>
    </w:p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</w:r>
    </w:p>
    <w:tbl>
      <w:tblPr>
        <w:tblW w:w="9356" w:type="dxa"/>
        <w:jc w:val="lef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699"/>
        <w:gridCol w:w="144"/>
        <w:gridCol w:w="283"/>
        <w:gridCol w:w="7229"/>
      </w:tblGrid>
      <w:tr>
        <w:trPr>
          <w:trHeight w:val="507" w:hRule="atLeast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lang w:eastAsia="ru-RU"/>
              </w:rPr>
              <w:t>Знания и умения</w:t>
            </w:r>
          </w:p>
        </w:tc>
        <w:tc>
          <w:tcPr>
            <w:tcW w:w="76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Calibri" w:cs="Times New Roman"/>
                <w:b/>
                <w:b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lang w:eastAsia="ru-RU"/>
              </w:rPr>
              <w:t>Требования</w:t>
            </w:r>
          </w:p>
        </w:tc>
      </w:tr>
      <w:tr>
        <w:trPr>
          <w:trHeight w:val="557" w:hRule="atLeast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>Базовые знания и умения:</w:t>
            </w:r>
          </w:p>
        </w:tc>
      </w:tr>
      <w:tr>
        <w:trPr>
          <w:trHeight w:val="225" w:hRule="atLeast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  <w:t>Знание государственного языка Российской Федерации (русского языка)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>Знание правовых основ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eastAsia="Calibri" w:cs="Times New Roman" w:ascii="Times New Roman" w:hAnsi="Times New Roman"/>
                <w:lang w:eastAsia="ru-RU"/>
              </w:rPr>
              <w:t>Наличие знаний конституционных прав и свобод гражданина Российской Федерации, правового положения (статуса) государственного гражданского служащего, понятия коррупции и основных принципов противодействия коррупции.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 xml:space="preserve">Знания и умения в области информационно-коммуникационных технологий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/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 xml:space="preserve">Наличие знаний: 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 xml:space="preserve">форм и методов работы с применением автоматизированных средств управления; 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правовых аспектов в сфере предоставления государственных услуг населению и организациям</w:t>
            </w:r>
            <w:r>
              <w:rPr>
                <w:rFonts w:eastAsia="Times New Roman" w:cs="Times New Roman" w:ascii="Times New Roman" w:hAnsi="Times New Roman"/>
                <w:color w:val="FF0000"/>
                <w:lang w:eastAsia="zh-CN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lang w:eastAsia="zh-CN"/>
              </w:rPr>
              <w:t>посредством применения информационно-коммуникационных технологий;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общих вопросов в области обеспечения информационной безопасности;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информационно-аналитических систем, обеспечивающих сбор, обработку, хранение и анализ данных;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sz w:val="22"/>
                <w:szCs w:val="22"/>
                <w:u w:val="none"/>
                <w:lang w:eastAsia="zh-CN"/>
              </w:rPr>
              <w:t>аппаратного и программного обеспечения (знание состава компьютера, работы в операционной системе, почтовых программ, офисных приложений, справочно-правовых систем);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другие в соответствии с должностным регламентом.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754" w:hanging="0"/>
              <w:contextualSpacing/>
              <w:jc w:val="both"/>
              <w:outlineLvl w:val="0"/>
              <w:rPr>
                <w:rFonts w:ascii="Times New Roman" w:hAnsi="Times New Roman" w:eastAsia="Times New Roman" w:cs="Times New Roman"/>
                <w:i/>
                <w:i/>
                <w:sz w:val="28"/>
                <w:szCs w:val="28"/>
                <w:u w:val="singl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8"/>
                <w:szCs w:val="28"/>
                <w:u w:val="single"/>
                <w:lang w:eastAsia="ru-RU"/>
              </w:rPr>
            </w:r>
          </w:p>
          <w:p>
            <w:pPr>
              <w:pStyle w:val="Normal"/>
              <w:tabs>
                <w:tab w:val="clear" w:pos="708"/>
                <w:tab w:val="left" w:pos="1134" w:leader="none"/>
              </w:tabs>
              <w:spacing w:lineRule="auto" w:line="240" w:before="0" w:after="0"/>
              <w:ind w:left="317" w:hanging="283"/>
              <w:rPr/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 xml:space="preserve">Наличие умений: 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317" w:hanging="283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владение компьютерной, другой оргтехникой и необходимым программным обеспечением;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317" w:hanging="283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работа с системами межведомственного взаимодействия, управление государственными информационными ресурсами;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i/>
                <w:lang w:eastAsia="zh-CN"/>
              </w:rPr>
              <w:t>и другие.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lang w:eastAsia="ru-RU"/>
              </w:rPr>
              <w:t>Знания основ делопроизводства и документооборота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eastAsia="ru-RU"/>
              </w:rPr>
              <w:t>Наличие знаний порядка рассмотрения обращений граждан, основ делопроизводства и документооборота.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Общие и управленческие умения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Общие умения: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 w:before="0" w:after="0"/>
              <w:ind w:left="317" w:hanging="284"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умение мыслить стратегически (системно);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 w:before="0" w:after="0"/>
              <w:ind w:left="317" w:hanging="284"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умение планировать, рационально использовать служебное время и достигать результата;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 w:before="0" w:after="0"/>
              <w:ind w:left="317" w:hanging="284"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коммуникативные умения;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 w:before="0" w:after="0"/>
              <w:ind w:left="317" w:hanging="284"/>
              <w:jc w:val="both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умение совершенствовать свой профессиональный уровень.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lang w:eastAsia="ru-RU"/>
              </w:rPr>
              <w:t>Управленческие умения:</w:t>
            </w:r>
          </w:p>
          <w:p>
            <w:pPr>
              <w:pStyle w:val="Normal"/>
              <w:numPr>
                <w:ilvl w:val="0"/>
                <w:numId w:val="3"/>
              </w:numPr>
              <w:tabs>
                <w:tab w:val="clear" w:pos="708"/>
                <w:tab w:val="left" w:pos="993" w:leader="none"/>
              </w:tabs>
              <w:spacing w:lineRule="auto" w:line="240" w:before="0" w:after="0"/>
              <w:ind w:left="317" w:hanging="284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lang w:eastAsia="zh-CN"/>
              </w:rPr>
              <w:t>умение эффективно планировать, организовывать работу и контролировать ее выполнение.</w:t>
            </w:r>
          </w:p>
        </w:tc>
      </w:tr>
      <w:tr>
        <w:trPr>
          <w:trHeight w:val="507" w:hRule="atLeast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zh-CN"/>
              </w:rPr>
              <w:t>Профессионально-функциональные знания и умения:</w:t>
            </w:r>
          </w:p>
        </w:tc>
      </w:tr>
      <w:tr>
        <w:trPr>
          <w:trHeight w:val="507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>П</w:t>
            </w:r>
            <w:r>
              <w:rPr>
                <w:rFonts w:eastAsia="Times New Roman" w:cs="Times New Roman" w:ascii="Times New Roman" w:hAnsi="Times New Roman"/>
                <w:b/>
                <w:bCs/>
                <w:i/>
                <w:lang w:eastAsia="ru-RU"/>
              </w:rPr>
              <w:t>рофессиональные знания и умения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Наличие знаний: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законодательства Российской Федерации и Ханты-Мансийского автономного округа – Югры в сфере агропромышленного комплекса, пищевой промышленности;</w:t>
            </w:r>
          </w:p>
          <w:p>
            <w:pPr>
              <w:pStyle w:val="Normal"/>
              <w:suppressAutoHyphens w:val="true"/>
              <w:spacing w:lineRule="auto" w:line="240" w:before="0" w:after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приоритетов государственной политики в области агропромышленного комплекса, пищевой промышленности;</w:t>
            </w:r>
          </w:p>
          <w:p>
            <w:pPr>
              <w:pStyle w:val="Normal"/>
              <w:suppressAutoHyphens w:val="true"/>
              <w:spacing w:lineRule="auto" w:line="240" w:before="0" w:after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</w:t>
            </w: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информационно-аналитических систем, обеспечивающих сбор, обработку, хранение и анализ данных.</w:t>
            </w:r>
          </w:p>
          <w:p>
            <w:pPr>
              <w:pStyle w:val="Normal"/>
              <w:suppressAutoHyphens w:val="true"/>
              <w:spacing w:lineRule="auto" w:line="240" w:before="0" w:after="0"/>
              <w:ind w:firstLine="708"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Наличие умений: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33" w:hanging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подготовка проектов нормативных правовых актов, программ, концепций;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33" w:hanging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применение нормативных правовых актов в практической деятельности;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33" w:hanging="0"/>
              <w:contextualSpacing/>
              <w:jc w:val="both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lang w:eastAsia="zh-CN"/>
              </w:rPr>
              <w:t>- пользование современной оргтехникой (в том числе, работы с системами взаимодействия с гражданами и организациями, работы с системами межведомственного взаимодействия, работы с системами управления государственными информационными ресурсами, работы с информационно-аналитическими системами, обеспечивающими сбор, обработку, хранение и анализ данных.</w:t>
            </w:r>
          </w:p>
        </w:tc>
      </w:tr>
      <w:tr>
        <w:trPr>
          <w:trHeight w:val="505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>Функциональные знания и умения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Наличие знаний: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понятие проекта нормативного правового акта, инструменты </w:t>
              <w:br/>
              <w:t>и этапы его разработки;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ведения сельскохозяйственного производства в условиях автономного округа;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меры государственной поддержки агропромышленного комплекса из федерального и регионального бюджетов;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приоритетные направления в сфере агропромышленного комплекса.</w:t>
            </w:r>
          </w:p>
          <w:p>
            <w:pPr>
              <w:pStyle w:val="Normal"/>
              <w:spacing w:lineRule="auto" w:line="240" w:before="0" w:after="0"/>
              <w:ind w:firstLine="33"/>
              <w:rPr/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 xml:space="preserve">Наличие умений: </w:t>
            </w:r>
          </w:p>
          <w:p>
            <w:pPr>
              <w:pStyle w:val="Normal"/>
              <w:spacing w:lineRule="auto" w:line="240" w:before="0" w:after="0"/>
              <w:ind w:firstLine="33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прием и согласование документации, заявок, заявлений;</w:t>
            </w:r>
          </w:p>
          <w:p>
            <w:pPr>
              <w:pStyle w:val="Normal"/>
              <w:spacing w:lineRule="auto" w:line="240" w:before="0" w:after="0"/>
              <w:ind w:firstLine="33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предоставление информации из реестров, баз данных, выдача справок, выписок, документов, разъяснений и сведений;</w:t>
            </w:r>
          </w:p>
          <w:p>
            <w:pPr>
              <w:pStyle w:val="Normal"/>
              <w:spacing w:lineRule="auto" w:line="240" w:before="0" w:after="0"/>
              <w:ind w:firstLine="33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рассмотрение запросов, ходатайств, уведомлений, жалоб;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проведение консультаций.</w:t>
            </w:r>
          </w:p>
        </w:tc>
      </w:tr>
      <w:tr>
        <w:trPr>
          <w:trHeight w:val="50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right="-42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color w:val="000000"/>
                <w:highlight w:val="whit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shd w:fill="FFFFFF" w:val="clear"/>
                <w:lang w:eastAsia="ru-RU"/>
              </w:rPr>
              <w:t>Профессиональные качества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8"/>
                <w:tab w:val="left" w:pos="33" w:leader="none"/>
              </w:tabs>
              <w:spacing w:lineRule="auto" w:line="240" w:before="0" w:after="0"/>
              <w:ind w:hanging="0"/>
              <w:contextualSpacing/>
              <w:jc w:val="both"/>
              <w:rPr/>
            </w:pPr>
            <w:r>
              <w:rPr>
                <w:rFonts w:eastAsia="Calibri" w:cs="Times New Roman" w:ascii="Times New Roman" w:hAnsi="Times New Roman"/>
                <w:lang w:eastAsia="zh-CN"/>
              </w:rPr>
              <w:t>-</w:t>
            </w:r>
            <w:r>
              <w:rPr>
                <w:rFonts w:eastAsia="Calibri" w:cs="Times New Roman" w:ascii="Times New Roman" w:hAnsi="Times New Roman"/>
                <w:sz w:val="22"/>
                <w:szCs w:val="22"/>
                <w:lang w:eastAsia="zh-CN"/>
              </w:rPr>
              <w:t xml:space="preserve"> эффективность коммуникаций;</w:t>
            </w:r>
          </w:p>
          <w:p>
            <w:pPr>
              <w:pStyle w:val="Normal"/>
              <w:tabs>
                <w:tab w:val="clear" w:pos="708"/>
                <w:tab w:val="left" w:pos="0" w:leader="none"/>
                <w:tab w:val="left" w:pos="33" w:leader="none"/>
                <w:tab w:val="left" w:pos="142" w:leader="none"/>
              </w:tabs>
              <w:spacing w:lineRule="auto" w:line="240" w:before="0" w:after="0"/>
              <w:ind w:left="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  <w:t xml:space="preserve">- ориентация на достижение результата; </w:t>
            </w:r>
          </w:p>
          <w:p>
            <w:pPr>
              <w:pStyle w:val="ListParagraph"/>
              <w:tabs>
                <w:tab w:val="clear" w:pos="708"/>
                <w:tab w:val="left" w:pos="0" w:leader="none"/>
                <w:tab w:val="left" w:pos="34" w:leader="none"/>
                <w:tab w:val="left" w:pos="142" w:leader="none"/>
              </w:tabs>
              <w:spacing w:lineRule="auto" w:line="240" w:before="0" w:after="0"/>
              <w:ind w:left="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- саморазвитие; </w:t>
            </w:r>
          </w:p>
          <w:p>
            <w:pPr>
              <w:pStyle w:val="ListParagraph"/>
              <w:tabs>
                <w:tab w:val="clear" w:pos="708"/>
                <w:tab w:val="left" w:pos="0" w:leader="none"/>
                <w:tab w:val="left" w:pos="33" w:leader="none"/>
                <w:tab w:val="left" w:pos="142" w:leader="none"/>
              </w:tabs>
              <w:spacing w:lineRule="auto" w:line="240" w:before="0" w:after="0"/>
              <w:ind w:left="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- работа в команде.</w:t>
            </w:r>
          </w:p>
          <w:p>
            <w:pPr>
              <w:pStyle w:val="Normal"/>
              <w:tabs>
                <w:tab w:val="clear" w:pos="708"/>
                <w:tab w:val="left" w:pos="33" w:leader="none"/>
              </w:tabs>
              <w:spacing w:lineRule="auto" w:line="240" w:before="0" w:after="0"/>
              <w:ind w:left="753" w:hanging="2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zh-CN"/>
              </w:rPr>
            </w:r>
          </w:p>
        </w:tc>
      </w:tr>
      <w:tr>
        <w:trPr>
          <w:trHeight w:val="505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right="3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color w:val="000000"/>
                <w:highlight w:val="whit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 xml:space="preserve">Личностные качества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аналитическое мышление;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исполнительность;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коммуникабельность;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bookmarkStart w:id="3" w:name="_Toc371446514"/>
            <w:bookmarkStart w:id="4" w:name="_Toc370808735"/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</w:t>
            </w:r>
            <w:bookmarkEnd w:id="3"/>
            <w:bookmarkEnd w:id="4"/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bookmarkStart w:id="5" w:name="_Toc371446518"/>
            <w:bookmarkStart w:id="6" w:name="_Toc370808739"/>
            <w:bookmarkEnd w:id="5"/>
            <w:bookmarkEnd w:id="6"/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обучаемость;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организованность;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- </w:t>
            </w:r>
            <w:bookmarkStart w:id="7" w:name="_Toc371446524"/>
            <w:bookmarkStart w:id="8" w:name="_Toc370808745"/>
            <w:bookmarkStart w:id="9" w:name="_Toc3714465181"/>
            <w:bookmarkStart w:id="10" w:name="_Toc3708087391"/>
            <w:bookmarkEnd w:id="9"/>
            <w:bookmarkEnd w:id="10"/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ответственность;</w:t>
            </w:r>
            <w:bookmarkEnd w:id="7"/>
            <w:bookmarkEnd w:id="8"/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- </w:t>
            </w:r>
            <w:bookmarkStart w:id="11" w:name="_Toc371446536"/>
            <w:bookmarkStart w:id="12" w:name="_Toc370808757"/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пунктуальность;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bookmarkEnd w:id="11"/>
            <w:bookmarkEnd w:id="12"/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стрессоустойчивость;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целеустремленность.</w:t>
            </w:r>
          </w:p>
        </w:tc>
      </w:tr>
    </w:tbl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bullet"/>
      <w:lvlText w:val=""/>
      <w:lvlJc w:val="left"/>
      <w:pPr>
        <w:ind w:left="785" w:hanging="360"/>
      </w:pPr>
      <w:rPr>
        <w:rFonts w:ascii="Symbol" w:hAnsi="Symbol" w:cs="Symbol" w:hint="default"/>
        <w:sz w:val="22"/>
        <w:rFonts w:cs="Symbol"/>
      </w:rPr>
    </w:lvl>
    <w:lvl w:ilvl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218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938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378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6098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538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qFormat/>
    <w:pPr>
      <w:keepNext w:val="true"/>
      <w:keepLines/>
      <w:spacing w:before="480" w:after="0"/>
      <w:outlineLvl w:val="0"/>
    </w:pPr>
    <w:rPr>
      <w:rFonts w:ascii="Cambria" w:hAnsi="Cambria" w:eastAsia="Times New Roman"/>
      <w:b/>
      <w:bCs/>
      <w:color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Style13">
    <w:name w:val="Символ концевой сноски"/>
    <w:qFormat/>
    <w:rPr/>
  </w:style>
  <w:style w:type="character" w:styleId="Style14">
    <w:name w:val="Привязка концевой сноски"/>
    <w:rPr>
      <w:vertAlign w:val="superscript"/>
    </w:rPr>
  </w:style>
  <w:style w:type="character" w:styleId="ListLabel13">
    <w:name w:val="ListLabel 13"/>
    <w:qFormat/>
    <w:rPr>
      <w:rFonts w:ascii="Times New Roman" w:hAnsi="Times New Roman" w:cs="Symbol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Wingdings"/>
    </w:rPr>
  </w:style>
  <w:style w:type="character" w:styleId="ListLabel16">
    <w:name w:val="ListLabel 16"/>
    <w:qFormat/>
    <w:rPr>
      <w:rFonts w:cs="Symbol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Wingdings"/>
    </w:rPr>
  </w:style>
  <w:style w:type="character" w:styleId="ListLabel19">
    <w:name w:val="ListLabel 19"/>
    <w:qFormat/>
    <w:rPr>
      <w:rFonts w:cs="Symbol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Wingdings"/>
    </w:rPr>
  </w:style>
  <w:style w:type="character" w:styleId="ListLabel22">
    <w:name w:val="ListLabel 22"/>
    <w:qFormat/>
    <w:rPr>
      <w:rFonts w:cs="Symbol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Wingdings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Wingdings"/>
    </w:rPr>
  </w:style>
  <w:style w:type="character" w:styleId="ListLabel28">
    <w:name w:val="ListLabel 28"/>
    <w:qFormat/>
    <w:rPr>
      <w:rFonts w:cs="Symbol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Wingdings"/>
    </w:rPr>
  </w:style>
  <w:style w:type="character" w:styleId="ListLabel31">
    <w:name w:val="ListLabel 31"/>
    <w:qFormat/>
    <w:rPr>
      <w:rFonts w:ascii="Times New Roman" w:hAnsi="Times New Roman" w:cs="Symbol"/>
      <w:sz w:val="22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Wingdings"/>
    </w:rPr>
  </w:style>
  <w:style w:type="character" w:styleId="ListLabel34">
    <w:name w:val="ListLabel 34"/>
    <w:qFormat/>
    <w:rPr>
      <w:rFonts w:cs="Symbol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Wingdings"/>
    </w:rPr>
  </w:style>
  <w:style w:type="character" w:styleId="ListLabel37">
    <w:name w:val="ListLabel 37"/>
    <w:qFormat/>
    <w:rPr>
      <w:rFonts w:cs="Symbol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Wingdings"/>
    </w:rPr>
  </w:style>
  <w:style w:type="character" w:styleId="ListLabel40">
    <w:name w:val="ListLabel 40"/>
    <w:qFormat/>
    <w:rPr>
      <w:rFonts w:cs="Symbol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Wingdings"/>
    </w:rPr>
  </w:style>
  <w:style w:type="character" w:styleId="ListLabel43">
    <w:name w:val="ListLabel 43"/>
    <w:qFormat/>
    <w:rPr>
      <w:rFonts w:cs="Symbol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Wingdings"/>
    </w:rPr>
  </w:style>
  <w:style w:type="character" w:styleId="ListLabel46">
    <w:name w:val="ListLabel 46"/>
    <w:qFormat/>
    <w:rPr>
      <w:rFonts w:cs="Symbol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Wingdings"/>
    </w:rPr>
  </w:style>
  <w:style w:type="character" w:styleId="FontStyle12">
    <w:name w:val="Font Style12"/>
    <w:qFormat/>
    <w:rPr>
      <w:rFonts w:ascii="Times New Roman" w:hAnsi="Times New Roman" w:cs="Times New Roman"/>
      <w:sz w:val="26"/>
      <w:szCs w:val="26"/>
    </w:rPr>
  </w:style>
  <w:style w:type="character" w:styleId="ListLabel49">
    <w:name w:val="ListLabel 49"/>
    <w:qFormat/>
    <w:rPr>
      <w:rFonts w:ascii="Times New Roman" w:hAnsi="Times New Roman" w:cs="Symbol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Wingdings"/>
    </w:rPr>
  </w:style>
  <w:style w:type="character" w:styleId="ListLabel52">
    <w:name w:val="ListLabel 52"/>
    <w:qFormat/>
    <w:rPr>
      <w:rFonts w:cs="Symbol"/>
    </w:rPr>
  </w:style>
  <w:style w:type="character" w:styleId="ListLabel53">
    <w:name w:val="ListLabel 53"/>
    <w:qFormat/>
    <w:rPr>
      <w:rFonts w:cs="Courier New"/>
    </w:rPr>
  </w:style>
  <w:style w:type="character" w:styleId="ListLabel54">
    <w:name w:val="ListLabel 54"/>
    <w:qFormat/>
    <w:rPr>
      <w:rFonts w:cs="Wingdings"/>
    </w:rPr>
  </w:style>
  <w:style w:type="character" w:styleId="ListLabel55">
    <w:name w:val="ListLabel 55"/>
    <w:qFormat/>
    <w:rPr>
      <w:rFonts w:cs="Symbol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Wingdings"/>
    </w:rPr>
  </w:style>
  <w:style w:type="character" w:styleId="ListLabel58">
    <w:name w:val="ListLabel 58"/>
    <w:qFormat/>
    <w:rPr>
      <w:rFonts w:ascii="Times New Roman" w:hAnsi="Times New Roman" w:cs="Symbol"/>
      <w:sz w:val="22"/>
    </w:rPr>
  </w:style>
  <w:style w:type="character" w:styleId="ListLabel59">
    <w:name w:val="ListLabel 59"/>
    <w:qFormat/>
    <w:rPr>
      <w:rFonts w:cs="Courier New"/>
    </w:rPr>
  </w:style>
  <w:style w:type="character" w:styleId="ListLabel60">
    <w:name w:val="ListLabel 60"/>
    <w:qFormat/>
    <w:rPr>
      <w:rFonts w:cs="Wingdings"/>
    </w:rPr>
  </w:style>
  <w:style w:type="character" w:styleId="ListLabel61">
    <w:name w:val="ListLabel 61"/>
    <w:qFormat/>
    <w:rPr>
      <w:rFonts w:cs="Symbol"/>
    </w:rPr>
  </w:style>
  <w:style w:type="character" w:styleId="ListLabel62">
    <w:name w:val="ListLabel 62"/>
    <w:qFormat/>
    <w:rPr>
      <w:rFonts w:cs="Courier New"/>
    </w:rPr>
  </w:style>
  <w:style w:type="character" w:styleId="ListLabel63">
    <w:name w:val="ListLabel 63"/>
    <w:qFormat/>
    <w:rPr>
      <w:rFonts w:cs="Wingdings"/>
    </w:rPr>
  </w:style>
  <w:style w:type="character" w:styleId="ListLabel64">
    <w:name w:val="ListLabel 64"/>
    <w:qFormat/>
    <w:rPr>
      <w:rFonts w:cs="Symbol"/>
    </w:rPr>
  </w:style>
  <w:style w:type="character" w:styleId="ListLabel65">
    <w:name w:val="ListLabel 65"/>
    <w:qFormat/>
    <w:rPr>
      <w:rFonts w:cs="Courier New"/>
    </w:rPr>
  </w:style>
  <w:style w:type="character" w:styleId="ListLabel66">
    <w:name w:val="ListLabel 66"/>
    <w:qFormat/>
    <w:rPr>
      <w:rFonts w:cs="Wingdings"/>
    </w:rPr>
  </w:style>
  <w:style w:type="character" w:styleId="ListLabel67">
    <w:name w:val="ListLabel 67"/>
    <w:qFormat/>
    <w:rPr>
      <w:rFonts w:cs="Symbol"/>
    </w:rPr>
  </w:style>
  <w:style w:type="character" w:styleId="ListLabel68">
    <w:name w:val="ListLabel 68"/>
    <w:qFormat/>
    <w:rPr>
      <w:rFonts w:cs="Courier New"/>
    </w:rPr>
  </w:style>
  <w:style w:type="character" w:styleId="ListLabel69">
    <w:name w:val="ListLabel 69"/>
    <w:qFormat/>
    <w:rPr>
      <w:rFonts w:cs="Wingdings"/>
    </w:rPr>
  </w:style>
  <w:style w:type="character" w:styleId="ListLabel70">
    <w:name w:val="ListLabel 70"/>
    <w:qFormat/>
    <w:rPr>
      <w:rFonts w:cs="Symbol"/>
    </w:rPr>
  </w:style>
  <w:style w:type="character" w:styleId="ListLabel71">
    <w:name w:val="ListLabel 71"/>
    <w:qFormat/>
    <w:rPr>
      <w:rFonts w:cs="Courier New"/>
    </w:rPr>
  </w:style>
  <w:style w:type="character" w:styleId="ListLabel72">
    <w:name w:val="ListLabel 72"/>
    <w:qFormat/>
    <w:rPr>
      <w:rFonts w:cs="Wingdings"/>
    </w:rPr>
  </w:style>
  <w:style w:type="character" w:styleId="ListLabel73">
    <w:name w:val="ListLabel 73"/>
    <w:qFormat/>
    <w:rPr>
      <w:rFonts w:cs="Symbol"/>
    </w:rPr>
  </w:style>
  <w:style w:type="character" w:styleId="ListLabel74">
    <w:name w:val="ListLabel 74"/>
    <w:qFormat/>
    <w:rPr>
      <w:rFonts w:cs="Courier New"/>
    </w:rPr>
  </w:style>
  <w:style w:type="character" w:styleId="ListLabel75">
    <w:name w:val="ListLabel 75"/>
    <w:qFormat/>
    <w:rPr>
      <w:rFonts w:cs="Wingdings"/>
    </w:rPr>
  </w:style>
  <w:style w:type="character" w:styleId="ListLabel76">
    <w:name w:val="ListLabel 76"/>
    <w:qFormat/>
    <w:rPr>
      <w:rFonts w:ascii="Times New Roman" w:hAnsi="Times New Roman" w:cs="Symbol"/>
    </w:rPr>
  </w:style>
  <w:style w:type="character" w:styleId="ListLabel77">
    <w:name w:val="ListLabel 77"/>
    <w:qFormat/>
    <w:rPr>
      <w:rFonts w:cs="Courier New"/>
    </w:rPr>
  </w:style>
  <w:style w:type="character" w:styleId="ListLabel78">
    <w:name w:val="ListLabel 78"/>
    <w:qFormat/>
    <w:rPr>
      <w:rFonts w:cs="Wingdings"/>
    </w:rPr>
  </w:style>
  <w:style w:type="character" w:styleId="ListLabel79">
    <w:name w:val="ListLabel 79"/>
    <w:qFormat/>
    <w:rPr>
      <w:rFonts w:cs="Symbol"/>
    </w:rPr>
  </w:style>
  <w:style w:type="character" w:styleId="ListLabel80">
    <w:name w:val="ListLabel 80"/>
    <w:qFormat/>
    <w:rPr>
      <w:rFonts w:cs="Courier New"/>
    </w:rPr>
  </w:style>
  <w:style w:type="character" w:styleId="ListLabel81">
    <w:name w:val="ListLabel 81"/>
    <w:qFormat/>
    <w:rPr>
      <w:rFonts w:cs="Wingdings"/>
    </w:rPr>
  </w:style>
  <w:style w:type="character" w:styleId="ListLabel82">
    <w:name w:val="ListLabel 82"/>
    <w:qFormat/>
    <w:rPr>
      <w:rFonts w:cs="Symbol"/>
    </w:rPr>
  </w:style>
  <w:style w:type="character" w:styleId="ListLabel83">
    <w:name w:val="ListLabel 83"/>
    <w:qFormat/>
    <w:rPr>
      <w:rFonts w:cs="Courier New"/>
    </w:rPr>
  </w:style>
  <w:style w:type="character" w:styleId="ListLabel84">
    <w:name w:val="ListLabel 84"/>
    <w:qFormat/>
    <w:rPr>
      <w:rFonts w:cs="Wingdings"/>
    </w:rPr>
  </w:style>
  <w:style w:type="character" w:styleId="ListLabel85">
    <w:name w:val="ListLabel 85"/>
    <w:qFormat/>
    <w:rPr>
      <w:rFonts w:ascii="Times New Roman" w:hAnsi="Times New Roman" w:cs="Symbol"/>
      <w:sz w:val="22"/>
    </w:rPr>
  </w:style>
  <w:style w:type="character" w:styleId="ListLabel86">
    <w:name w:val="ListLabel 86"/>
    <w:qFormat/>
    <w:rPr>
      <w:rFonts w:cs="Courier New"/>
    </w:rPr>
  </w:style>
  <w:style w:type="character" w:styleId="ListLabel87">
    <w:name w:val="ListLabel 87"/>
    <w:qFormat/>
    <w:rPr>
      <w:rFonts w:cs="Wingdings"/>
    </w:rPr>
  </w:style>
  <w:style w:type="character" w:styleId="ListLabel88">
    <w:name w:val="ListLabel 88"/>
    <w:qFormat/>
    <w:rPr>
      <w:rFonts w:cs="Symbol"/>
    </w:rPr>
  </w:style>
  <w:style w:type="character" w:styleId="ListLabel89">
    <w:name w:val="ListLabel 89"/>
    <w:qFormat/>
    <w:rPr>
      <w:rFonts w:cs="Courier New"/>
    </w:rPr>
  </w:style>
  <w:style w:type="character" w:styleId="ListLabel90">
    <w:name w:val="ListLabel 90"/>
    <w:qFormat/>
    <w:rPr>
      <w:rFonts w:cs="Wingdings"/>
    </w:rPr>
  </w:style>
  <w:style w:type="character" w:styleId="ListLabel91">
    <w:name w:val="ListLabel 91"/>
    <w:qFormat/>
    <w:rPr>
      <w:rFonts w:cs="Symbol"/>
    </w:rPr>
  </w:style>
  <w:style w:type="character" w:styleId="ListLabel92">
    <w:name w:val="ListLabel 92"/>
    <w:qFormat/>
    <w:rPr>
      <w:rFonts w:cs="Courier New"/>
    </w:rPr>
  </w:style>
  <w:style w:type="character" w:styleId="ListLabel93">
    <w:name w:val="ListLabel 93"/>
    <w:qFormat/>
    <w:rPr>
      <w:rFonts w:cs="Wingdings"/>
    </w:rPr>
  </w:style>
  <w:style w:type="character" w:styleId="ListLabel94">
    <w:name w:val="ListLabel 94"/>
    <w:qFormat/>
    <w:rPr>
      <w:rFonts w:cs="Symbol"/>
    </w:rPr>
  </w:style>
  <w:style w:type="character" w:styleId="ListLabel95">
    <w:name w:val="ListLabel 95"/>
    <w:qFormat/>
    <w:rPr>
      <w:rFonts w:cs="Courier New"/>
    </w:rPr>
  </w:style>
  <w:style w:type="character" w:styleId="ListLabel96">
    <w:name w:val="ListLabel 96"/>
    <w:qFormat/>
    <w:rPr>
      <w:rFonts w:cs="Wingdings"/>
    </w:rPr>
  </w:style>
  <w:style w:type="character" w:styleId="ListLabel97">
    <w:name w:val="ListLabel 97"/>
    <w:qFormat/>
    <w:rPr>
      <w:rFonts w:cs="Symbol"/>
    </w:rPr>
  </w:style>
  <w:style w:type="character" w:styleId="ListLabel98">
    <w:name w:val="ListLabel 98"/>
    <w:qFormat/>
    <w:rPr>
      <w:rFonts w:cs="Courier New"/>
    </w:rPr>
  </w:style>
  <w:style w:type="character" w:styleId="ListLabel99">
    <w:name w:val="ListLabel 99"/>
    <w:qFormat/>
    <w:rPr>
      <w:rFonts w:cs="Wingdings"/>
    </w:rPr>
  </w:style>
  <w:style w:type="character" w:styleId="ListLabel100">
    <w:name w:val="ListLabel 100"/>
    <w:qFormat/>
    <w:rPr>
      <w:rFonts w:cs="Symbol"/>
    </w:rPr>
  </w:style>
  <w:style w:type="character" w:styleId="ListLabel101">
    <w:name w:val="ListLabel 101"/>
    <w:qFormat/>
    <w:rPr>
      <w:rFonts w:cs="Courier New"/>
    </w:rPr>
  </w:style>
  <w:style w:type="character" w:styleId="ListLabel102">
    <w:name w:val="ListLabel 102"/>
    <w:qFormat/>
    <w:rPr>
      <w:rFonts w:cs="Wingdings"/>
    </w:rPr>
  </w:style>
  <w:style w:type="character" w:styleId="ListLabel103">
    <w:name w:val="ListLabel 103"/>
    <w:qFormat/>
    <w:rPr>
      <w:rFonts w:cs="Symbol"/>
    </w:rPr>
  </w:style>
  <w:style w:type="character" w:styleId="ListLabel104">
    <w:name w:val="ListLabel 104"/>
    <w:qFormat/>
    <w:rPr>
      <w:rFonts w:cs="Courier New"/>
    </w:rPr>
  </w:style>
  <w:style w:type="character" w:styleId="ListLabel105">
    <w:name w:val="ListLabel 105"/>
    <w:qFormat/>
    <w:rPr>
      <w:rFonts w:cs="Wingdings"/>
    </w:rPr>
  </w:style>
  <w:style w:type="character" w:styleId="ListLabel106">
    <w:name w:val="ListLabel 106"/>
    <w:qFormat/>
    <w:rPr>
      <w:rFonts w:cs="Symbol"/>
    </w:rPr>
  </w:style>
  <w:style w:type="character" w:styleId="ListLabel107">
    <w:name w:val="ListLabel 107"/>
    <w:qFormat/>
    <w:rPr>
      <w:rFonts w:cs="Courier New"/>
    </w:rPr>
  </w:style>
  <w:style w:type="character" w:styleId="ListLabel108">
    <w:name w:val="ListLabel 108"/>
    <w:qFormat/>
    <w:rPr>
      <w:rFonts w:cs="Wingdings"/>
    </w:rPr>
  </w:style>
  <w:style w:type="character" w:styleId="ListLabel109">
    <w:name w:val="ListLabel 109"/>
    <w:qFormat/>
    <w:rPr>
      <w:rFonts w:cs="Symbol"/>
    </w:rPr>
  </w:style>
  <w:style w:type="character" w:styleId="ListLabel110">
    <w:name w:val="ListLabel 110"/>
    <w:qFormat/>
    <w:rPr>
      <w:rFonts w:cs="Courier New"/>
    </w:rPr>
  </w:style>
  <w:style w:type="character" w:styleId="ListLabel111">
    <w:name w:val="ListLabel 111"/>
    <w:qFormat/>
    <w:rPr>
      <w:rFonts w:cs="Wingdings"/>
    </w:rPr>
  </w:style>
  <w:style w:type="character" w:styleId="ListLabel112">
    <w:name w:val="ListLabel 112"/>
    <w:qFormat/>
    <w:rPr>
      <w:rFonts w:cs="Symbol"/>
      <w:sz w:val="22"/>
    </w:rPr>
  </w:style>
  <w:style w:type="character" w:styleId="ListLabel113">
    <w:name w:val="ListLabel 113"/>
    <w:qFormat/>
    <w:rPr>
      <w:rFonts w:cs="Courier New"/>
    </w:rPr>
  </w:style>
  <w:style w:type="character" w:styleId="ListLabel114">
    <w:name w:val="ListLabel 114"/>
    <w:qFormat/>
    <w:rPr>
      <w:rFonts w:cs="Wingdings"/>
    </w:rPr>
  </w:style>
  <w:style w:type="character" w:styleId="ListLabel115">
    <w:name w:val="ListLabel 115"/>
    <w:qFormat/>
    <w:rPr>
      <w:rFonts w:cs="Symbol"/>
    </w:rPr>
  </w:style>
  <w:style w:type="character" w:styleId="ListLabel116">
    <w:name w:val="ListLabel 116"/>
    <w:qFormat/>
    <w:rPr>
      <w:rFonts w:cs="Courier New"/>
    </w:rPr>
  </w:style>
  <w:style w:type="character" w:styleId="ListLabel117">
    <w:name w:val="ListLabel 117"/>
    <w:qFormat/>
    <w:rPr>
      <w:rFonts w:cs="Wingdings"/>
    </w:rPr>
  </w:style>
  <w:style w:type="character" w:styleId="ListLabel118">
    <w:name w:val="ListLabel 118"/>
    <w:qFormat/>
    <w:rPr>
      <w:rFonts w:cs="Symbol"/>
    </w:rPr>
  </w:style>
  <w:style w:type="character" w:styleId="ListLabel119">
    <w:name w:val="ListLabel 119"/>
    <w:qFormat/>
    <w:rPr>
      <w:rFonts w:cs="Courier New"/>
    </w:rPr>
  </w:style>
  <w:style w:type="character" w:styleId="ListLabel120">
    <w:name w:val="ListLabel 120"/>
    <w:qFormat/>
    <w:rPr>
      <w:rFonts w:cs="Wingdings"/>
    </w:rPr>
  </w:style>
  <w:style w:type="character" w:styleId="ListLabel121">
    <w:name w:val="ListLabel 121"/>
    <w:qFormat/>
    <w:rPr>
      <w:rFonts w:cs="Symbol"/>
    </w:rPr>
  </w:style>
  <w:style w:type="character" w:styleId="ListLabel122">
    <w:name w:val="ListLabel 122"/>
    <w:qFormat/>
    <w:rPr>
      <w:rFonts w:cs="Courier New"/>
    </w:rPr>
  </w:style>
  <w:style w:type="character" w:styleId="ListLabel123">
    <w:name w:val="ListLabel 123"/>
    <w:qFormat/>
    <w:rPr>
      <w:rFonts w:cs="Wingdings"/>
    </w:rPr>
  </w:style>
  <w:style w:type="character" w:styleId="ListLabel124">
    <w:name w:val="ListLabel 124"/>
    <w:qFormat/>
    <w:rPr>
      <w:rFonts w:cs="Symbol"/>
    </w:rPr>
  </w:style>
  <w:style w:type="character" w:styleId="ListLabel125">
    <w:name w:val="ListLabel 125"/>
    <w:qFormat/>
    <w:rPr>
      <w:rFonts w:cs="Courier New"/>
    </w:rPr>
  </w:style>
  <w:style w:type="character" w:styleId="ListLabel126">
    <w:name w:val="ListLabel 126"/>
    <w:qFormat/>
    <w:rPr>
      <w:rFonts w:cs="Wingdings"/>
    </w:rPr>
  </w:style>
  <w:style w:type="character" w:styleId="ListLabel127">
    <w:name w:val="ListLabel 127"/>
    <w:qFormat/>
    <w:rPr>
      <w:rFonts w:cs="Symbol"/>
    </w:rPr>
  </w:style>
  <w:style w:type="character" w:styleId="ListLabel128">
    <w:name w:val="ListLabel 128"/>
    <w:qFormat/>
    <w:rPr>
      <w:rFonts w:cs="Courier New"/>
    </w:rPr>
  </w:style>
  <w:style w:type="character" w:styleId="ListLabel129">
    <w:name w:val="ListLabel 129"/>
    <w:qFormat/>
    <w:rPr>
      <w:rFonts w:cs="Wingdings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NoSpacing">
    <w:name w:val="No Spacing"/>
    <w:qFormat/>
    <w:pPr>
      <w:widowControl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/>
  </w:style>
  <w:style w:type="paragraph" w:styleId="Style20">
    <w:name w:val="Endnote Text"/>
    <w:basedOn w:val="Normal"/>
    <w:pPr>
      <w:suppressLineNumbers/>
      <w:ind w:left="339" w:hanging="339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Application>LibreOffice/6.1.1.2$Windows_X86_64 LibreOffice_project/5d19a1bfa650b796764388cd8b33a5af1f5baa1b</Application>
  <Pages>4</Pages>
  <Words>937</Words>
  <Characters>7728</Characters>
  <CharactersWithSpaces>8599</CharactersWithSpaces>
  <Paragraphs>132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2018-07-20T06:26:00Z</dcterms:created>
  <dc:creator>Артемьева Елена Юрьевна</dc:creator>
  <dc:description/>
  <dc:language>ru-RU</dc:language>
  <cp:lastModifiedBy/>
  <dcterms:modified xsi:type="dcterms:W3CDTF">2018-11-19T10:28:33Z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